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Президенту Российской Федерации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Владимиру Владимировичу Путину 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ул. Ильинка, д. 23, 103132, Москва, Россия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Уважаемый Владимир Владимирович!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708.6614173228347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июля 2018 года вступили в силу требования, </w:t>
      </w:r>
      <w:r w:rsidDel="00000000" w:rsidR="00000000" w:rsidRPr="00000000">
        <w:rPr>
          <w:rtl w:val="0"/>
        </w:rPr>
        <w:t xml:space="preserve">обязывающие операторов связи хранить “текстовые сообщения пользователей услугами связи, голосовую информацию, изображения, звуки, видео-, иные сообщения пользователей услугами связи - до шести месяцев с момента окончания их приема, передачи, доставки и (или) обработки” (пп.2 п.1 ст.64 ФЗ “О связи”).</w:t>
      </w: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В целях реализации требований федерального закона, Правительство РФ и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Министерство цифрового развития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связи и массовых коммуникаций РФ (далее - Минкомсвязи) разработали и приняли ряд подза</w:t>
      </w:r>
      <w:r w:rsidDel="00000000" w:rsidR="00000000" w:rsidRPr="00000000">
        <w:rPr>
          <w:rtl w:val="0"/>
        </w:rPr>
        <w:t xml:space="preserve">конных актов, включая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Правила хранения 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</w:t>
      </w:r>
      <w:r w:rsidDel="00000000" w:rsidR="00000000" w:rsidRPr="00000000">
        <w:rPr>
          <w:b w:val="1"/>
          <w:rtl w:val="0"/>
        </w:rPr>
        <w:t xml:space="preserve">” (утверждены Постановлением Правительства РФ от 12 апреля 2018 г. N 445, далее - </w:t>
      </w:r>
      <w:r w:rsidDel="00000000" w:rsidR="00000000" w:rsidRPr="00000000">
        <w:rPr>
          <w:b w:val="1"/>
          <w:rtl w:val="0"/>
        </w:rPr>
        <w:t xml:space="preserve">Правила хранения</w:t>
      </w:r>
      <w:r w:rsidDel="00000000" w:rsidR="00000000" w:rsidRPr="00000000">
        <w:rPr>
          <w:b w:val="1"/>
          <w:rtl w:val="0"/>
        </w:rPr>
        <w:t xml:space="preserve">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Анализ положений Правил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связи” приводит нас к пониманию, что </w:t>
      </w:r>
      <w:r w:rsidDel="00000000" w:rsidR="00000000" w:rsidRPr="00000000">
        <w:rPr>
          <w:b w:val="1"/>
          <w:rtl w:val="0"/>
        </w:rPr>
        <w:t xml:space="preserve">реализация данного подзаконного акта неизбежно ведет к тому, что операторы, выполняя требования Минкомсвязи, становятся нарушителями ряда федеральных законов РФ и Конституции РФ.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Правила хранения предписывают опе</w:t>
      </w:r>
      <w:r w:rsidDel="00000000" w:rsidR="00000000" w:rsidRPr="00000000">
        <w:rPr>
          <w:rtl w:val="0"/>
        </w:rPr>
        <w:t xml:space="preserve">раторам: 1) хранить с 1 июля 2018 года в полном объеме </w:t>
      </w:r>
      <w:r w:rsidDel="00000000" w:rsidR="00000000" w:rsidRPr="00000000">
        <w:rPr>
          <w:rtl w:val="0"/>
        </w:rPr>
        <w:t xml:space="preserve">в течении 6 месяцев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все голосовые и текстовые сообщения, переданные операторами при оказании услуг голосовой связи (Статья 5)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; 2) для хранения сообщений электросвязи иметь</w:t>
      </w:r>
      <w:r w:rsidDel="00000000" w:rsidR="00000000" w:rsidRPr="00000000">
        <w:rPr>
          <w:rtl w:val="0"/>
        </w:rPr>
        <w:t xml:space="preserve"> с 1 октября 2018 года средства накопления информации </w:t>
      </w:r>
      <w:r w:rsidDel="00000000" w:rsidR="00000000" w:rsidRPr="00000000">
        <w:rPr>
          <w:rtl w:val="0"/>
        </w:rPr>
        <w:t xml:space="preserve">“емкостью, равной объему сообщений электросвязи, отправленных и полученных пользователями указанного оператора за 30 суток” и впоследствии увеличивать их емкость “ежегодно на 15 процентов в течение 5 лет с даты ввода технических средств накопления информации в эксплуатацию” (Статья 6).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ответах на обращения операторов связи, представители Минкомсвязи уточняют, что средства накопления информации должны будут использоваться </w:t>
      </w:r>
      <w:r w:rsidDel="00000000" w:rsidR="00000000" w:rsidRPr="00000000">
        <w:rPr>
          <w:rtl w:val="0"/>
        </w:rPr>
        <w:t xml:space="preserve">для хранения в течение указанного периода всех данных, которые получают и отправляют все абоненты оператора (как только на рынке появится оборудование, прошедшее необходимые испытания и обладающее необходимым сертификатом соответствия).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Данные требования избыточны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08.6614173228347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</w:p>
    <w:p w:rsidR="00000000" w:rsidDel="00000000" w:rsidP="00000000" w:rsidRDefault="00000000" w:rsidRPr="00000000" w14:paraId="0000001A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Требование хранить сообщения и данные всех абонентов противоречит законодательству Российской Федерации. </w:t>
      </w:r>
    </w:p>
    <w:p w:rsidR="00000000" w:rsidDel="00000000" w:rsidP="00000000" w:rsidRDefault="00000000" w:rsidRPr="00000000" w14:paraId="0000001C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Определение и фактическое содержание статьи 64 ФЗ “О Связи” - “</w:t>
      </w:r>
      <w:r w:rsidDel="00000000" w:rsidR="00000000" w:rsidRPr="00000000">
        <w:rPr>
          <w:rtl w:val="0"/>
        </w:rPr>
        <w:t xml:space="preserve">Обязанности операторов связи и ограничение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осуществлении следственных действий” - д</w:t>
      </w:r>
      <w:r w:rsidDel="00000000" w:rsidR="00000000" w:rsidRPr="00000000">
        <w:rPr>
          <w:rtl w:val="0"/>
        </w:rPr>
        <w:t xml:space="preserve">иктуют, что ее требования не могут противоречить и выходить за границы действий, исполняемых при проведении оперативно-розыскных мероприятий, мероприятий по обеспечению безопасности Российской Федерации и мероприятий по осуществлению следственных действий.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Следственные органы и органы федеральной службы безопасности осуществляют запись и хранение сообщений лиц, подозреваемых или обвиняемых в совершении преступлений (средней тяжести, тяжких и особо тяжких), только при наличии судебного предписания (ч.3 ст.8 ФЗ “Об оперативно-розыскной деятельности”, ч.1 ст. 186 Уголовно-процессуального кодекса Российской Федерации). Данный подход проистекает из четкого и однозначного требования статей 23 и 24 Конституции РФ: “Каждый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решения”(ч.2 ст.23), “Сбор, хранение, использование и распространение информации о частной жизни лица без его согласия не допускаются” (ч.1 ст.24).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Таким образом, обозначенное в Правилах хранения требование к операторам связи хранить данные, переданные и полученные всеми абонентами, а не только лицами, в отношении которых выданы соответствующие судебные предписания, превышает границы регулирования Ст 64 ФЗ “О связи”. Данное требование инициирует нарушение операторами права на тайну связи и неприкосновенность частной жизни человека, защищенные ФЗ “О связи”,  Гражданским и Уголовным кодексами РФ и Конституцией РФ.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Требование хранить все сообщения и данные, отправляемые и получаемые абонентом, также входит в противоречие с законодательством Российской Федерации.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В рамках общественного обсуждения проекта Правил хранения операторы связи неоднократно обращали внимание отраслевого министерства </w:t>
      </w:r>
      <w:r w:rsidDel="00000000" w:rsidR="00000000" w:rsidRPr="00000000">
        <w:rPr>
          <w:rtl w:val="0"/>
        </w:rPr>
        <w:t xml:space="preserve">на то, что значительная часть данных, передаваемых по сетям связи, не является сообщениями абонентов (обязанность хранения которых  зафиксирована в</w:t>
      </w:r>
      <w:r w:rsidDel="00000000" w:rsidR="00000000" w:rsidRPr="00000000">
        <w:rPr>
          <w:rtl w:val="0"/>
        </w:rPr>
        <w:t xml:space="preserve"> пп.2 п.1 ст.64 ФЗ “О связи”).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К данным, которые не являются сообщениями абонентов, относится </w:t>
      </w:r>
      <w:r w:rsidDel="00000000" w:rsidR="00000000" w:rsidRPr="00000000">
        <w:rPr>
          <w:rtl w:val="0"/>
        </w:rPr>
        <w:t xml:space="preserve">лицензионные аудио- и видеозаписи, предоставляемыми абонентам специализированными онлайн медиатеками и онлайн кинотеатрами, такими как Яндекс.Музыка,  Spotify, Apple Music, Last.fm и другие, а также Amediateka, ivi.ru, megogo.net, TVzavr и другие (у операторов связи данные такого типа занимают порядка 40% передаваемой по сетям информации). </w:t>
      </w:r>
      <w:r w:rsidDel="00000000" w:rsidR="00000000" w:rsidRPr="00000000">
        <w:rPr>
          <w:rtl w:val="0"/>
        </w:rPr>
        <w:t xml:space="preserve">Хранение таких данных также</w:t>
      </w:r>
      <w:r w:rsidDel="00000000" w:rsidR="00000000" w:rsidRPr="00000000">
        <w:rPr>
          <w:rtl w:val="0"/>
        </w:rPr>
        <w:t xml:space="preserve"> делает операторов нарушителями положений Гражданского кодекса РФ, признающего факт хранения сторонними организациями лицензионных аудио- и видеозаписей нарушением авторского права (ст 1270 ГК РФ). 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К данным, которые не являются сообщениями абонентов, также относятся и трансляция эфирных и кабельных каналов ТВ. Согласно Правилам хранения они должны храниться, если доставляются до абонента через сеть Интернет, “поверх” стандартной услуги передачи данных (т.н. технология IPTV, реализуемая посредством подключения к ТВ специальных декодирующих приставок или установки специальных приложений в телевизорах с функцией Smart TV).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Хранение данных IPTV, помимо своей необоснованности закрепляет дискриминацию отдельных технологий рынка связи. </w:t>
      </w:r>
      <w:r w:rsidDel="00000000" w:rsidR="00000000" w:rsidRPr="00000000">
        <w:rPr>
          <w:rtl w:val="0"/>
        </w:rPr>
        <w:t xml:space="preserve">В Правилах хранения </w:t>
      </w:r>
      <w:r w:rsidDel="00000000" w:rsidR="00000000" w:rsidRPr="00000000">
        <w:rPr>
          <w:rtl w:val="0"/>
        </w:rPr>
        <w:t xml:space="preserve">отражено, что эфирные и кабельные каналы не должны храниться, когда они предоставляются абоненту в рамках отдельного договора с оператором (оказания услуги связи для эфирного и кабельного вещания) и одновременно с этим, эфирные и кабельные каналы должны храниться, если абонент имеет договор с поставщиком услуги IPTV (продавцом приставки или приложения), а с оператором лишь договор предоставления доступа в сеть Интернет.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Помимо требований хранить данные, которые очевидно не являются сообщениями абонентов, вызывает большой вопрос требование хранения данных, которые имеют специальное шифрование и не могут быть прочитаны никем, в том числе и представителями спецслужб. Хранение таких типов сообщений никак не обосновано логикой взаимодействия с правоохранительными органами для проведения следственных и оперативно-розыскных мероприятий.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Требования Правил хранения, закрепляя необходимость хранения данных, которые не являются сообщениями и не могут использованы следственными органами и органами федеральной службы безопасности при осуществлении ими следственных и оперативно-розыскных действий, выходят за границы регулирования, определенные федеральным законом. Данный подход нарушает требования Гражданского  кодекса РФ (п. 7 ст. 3 ГК РФ), а также положения части 3 статьи 55 Конституции РФ (“Права и свободы человека и гражданина могут быть ограничены федеральным законом только в той мере, в какой это необходимо...”).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В заключении считаю важным обратить внимание еще на одно обстоятельство: хранение операторами избыточной информации, данных которые не могут быть использованы в целях оперативно-розыскных мероприятий и следственных действий затрудняют работу силовых органов. Чем больше общий объем информации, в котором надо найти конкретные сообщения, тем сложнее и дольше поиск этих сообщений, и тем более сложные и дорогостоящие системы необходимо использовать для осуществления поиска. </w:t>
      </w:r>
    </w:p>
    <w:p w:rsidR="00000000" w:rsidDel="00000000" w:rsidP="00000000" w:rsidRDefault="00000000" w:rsidRPr="00000000" w14:paraId="00000036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По оценкам операторов, зафиксированные в Правилах хранения требования в отношении хранения сообщений абонентов неизбежно ведут к тому, что до 80% хранилищ операторов будут заполнены данными, которые не будут использованы для проведения следственных действий и оперативно-розыскных мероприятий. Этот “информационный шум” будет создавать серьезные помехи в работе силовых ведомств при поиске сообщений потенциальных и реальных правонарушителей. Результатом реализации обсуждаемых требований станет </w:t>
      </w:r>
      <w:r w:rsidDel="00000000" w:rsidR="00000000" w:rsidRPr="00000000">
        <w:rPr>
          <w:rtl w:val="0"/>
        </w:rPr>
        <w:t xml:space="preserve">в первую очередь и, возможно, </w:t>
      </w:r>
      <w:r w:rsidDel="00000000" w:rsidR="00000000" w:rsidRPr="00000000">
        <w:rPr>
          <w:rtl w:val="0"/>
        </w:rPr>
        <w:t xml:space="preserve">исключительно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обогащение узкой группы владельцев компаний, производящих специализированные средства накопления информации, которые будет необходимо установить операторам связи.  </w:t>
      </w:r>
    </w:p>
    <w:p w:rsidR="00000000" w:rsidDel="00000000" w:rsidP="00000000" w:rsidRDefault="00000000" w:rsidRPr="00000000" w14:paraId="00000038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Объемы средств накопления информации, которые необходимы для хранения сообщений, переданных и полученных абонентами, в отношении которых есть необходимые судебные предписания на сбор такой информации, и которые могут использоваться силовыми органами для реализации возложенных на них обязательств на много порядков меньше объемов, которые в настоящий момент предписывают иметь Правила хранения.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.6614173228347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 прошу:</w:t>
      </w:r>
    </w:p>
    <w:p w:rsidR="00000000" w:rsidDel="00000000" w:rsidP="00000000" w:rsidRDefault="00000000" w:rsidRPr="00000000" w14:paraId="0000003C">
      <w:pPr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Дать поручение Правительству РФ существенно доработать или переработать Правила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Дать поручение Правительству РФ создать реестр ресурсов, в отношении которых нет необходимости хранения данных переданных или полученных абонентами.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Дать поручение Правительству РФ провести анализ постановлений судов РФ, санкционирующих прослушивание и запись телефонных сообщений и сообщений электросвязи, и определить минимальные необходимые объемы средств накопления информации для операторов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ru"/>
      </w:rPr>
    </w:rPrDefault>
    <w:pPrDefault>
      <w:pPr>
        <w:spacing w:line="276" w:lineRule="auto"/>
        <w:ind w:firstLine="708.6614173228347"/>
        <w:contextualSpacing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