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07DA98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36"/>
          <w:szCs w:val="36"/>
          <w:lang w:val="ru-RU"/>
        </w:rPr>
        <w:t>Исследование РАЭК: Экономика Рунета в эпоху COVID-19 — растем и трансформируемся</w:t>
      </w:r>
    </w:p>
    <w:p w14:paraId="1F59D502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44D74C2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15 апреля 2020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br/>
      </w:r>
      <w:hyperlink r:id="rId6" w:history="1">
        <w:r w:rsidRPr="00370349">
          <w:rPr>
            <w:rFonts w:ascii="Arial" w:hAnsi="Arial" w:cs="Arial"/>
            <w:color w:val="1155CC"/>
            <w:sz w:val="20"/>
            <w:szCs w:val="20"/>
            <w:u w:val="single"/>
            <w:lang w:val="ru-RU"/>
          </w:rPr>
          <w:t>www.rif.ru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> </w:t>
      </w:r>
    </w:p>
    <w:p w14:paraId="3A8517CF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EEF382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52051D3D">
          <v:rect id="_x0000_i1025" style="width:0;height:1.5pt" o:hralign="center" o:hrstd="t" o:hr="t" fillcolor="#aaa" stroked="f"/>
        </w:pict>
      </w:r>
    </w:p>
    <w:p w14:paraId="5A4A8689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818297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15 апреля 2020 года в стартовал 24-й </w:t>
      </w:r>
      <w:hyperlink r:id="rId7" w:history="1">
        <w:r w:rsidRPr="00370349">
          <w:rPr>
            <w:rFonts w:ascii="Arial" w:hAnsi="Arial" w:cs="Arial"/>
            <w:color w:val="1155CC"/>
            <w:sz w:val="20"/>
            <w:szCs w:val="20"/>
            <w:u w:val="single"/>
            <w:lang w:val="ru-RU"/>
          </w:rPr>
          <w:t>Российский Интернет-Форум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(РИФ+КИБ) 2020. Впервые в истории форума открытие прошло в онлайн-формате (</w:t>
      </w:r>
      <w:hyperlink r:id="rId8" w:history="1">
        <w:r w:rsidRPr="00370349">
          <w:rPr>
            <w:rFonts w:ascii="Arial" w:hAnsi="Arial" w:cs="Arial"/>
            <w:color w:val="1155CC"/>
            <w:sz w:val="20"/>
            <w:szCs w:val="20"/>
            <w:u w:val="single"/>
            <w:lang w:val="ru-RU"/>
          </w:rPr>
          <w:t>РИФ.онлайн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>). </w:t>
      </w:r>
    </w:p>
    <w:p w14:paraId="51FB58B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287AEB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 рамках главной аналитической панели форума РАЭК презентовала самые свежие цифры исследования “</w:t>
      </w:r>
      <w:hyperlink r:id="rId9" w:history="1">
        <w:r w:rsidRPr="00370349">
          <w:rPr>
            <w:rFonts w:ascii="Arial" w:hAnsi="Arial" w:cs="Arial"/>
            <w:b/>
            <w:bCs/>
            <w:color w:val="1155CC"/>
            <w:sz w:val="20"/>
            <w:szCs w:val="20"/>
            <w:u w:val="single"/>
            <w:lang w:val="ru-RU"/>
          </w:rPr>
          <w:t>Экономика Рунета 2019-2020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>”.</w:t>
      </w:r>
    </w:p>
    <w:p w14:paraId="1A465F7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8C97941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Напомним, РАЭК разработан отраслевой подход к описанию и измерению “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Экосистемы цифровой экономики России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” и “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Экономики Рунета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”. </w:t>
      </w:r>
    </w:p>
    <w:p w14:paraId="043D735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47F1B23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Он базируется на декомпозиции Экосистемы на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7 хабов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(государство и общество, маркетинг и реклама, финансы и торговля, инфраструктура и связь, медиа и развлечения, кибербезопасность, образование и кадры)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10 срезов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(аналитика и данные, бизнес-модели, разработка, дизайн, интерфейсы, юзабилити; интернет вещей, Mobile, гаджеты и железо, AI и BIG Data, регулирование, платформы, стартапы и инвестиции)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3 уровня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(начальный, средний, гуру)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. </w:t>
      </w:r>
    </w:p>
    <w:p w14:paraId="5B40E694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3DAA5F0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Подробнее о методике описания “Экосистемы цифровой экономики России” и измерения “Экономики Рунета”: </w:t>
      </w:r>
      <w:hyperlink r:id="rId10" w:history="1">
        <w:r w:rsidRPr="00370349">
          <w:rPr>
            <w:rFonts w:ascii="Arial" w:hAnsi="Arial" w:cs="Arial"/>
            <w:color w:val="1155CC"/>
            <w:sz w:val="20"/>
            <w:szCs w:val="20"/>
            <w:u w:val="single"/>
            <w:lang w:val="ru-RU"/>
          </w:rPr>
          <w:t>ЭкономикаРунета.рф</w:t>
        </w:r>
      </w:hyperlink>
      <w:r w:rsidRPr="00370349">
        <w:rPr>
          <w:rFonts w:ascii="Arial" w:hAnsi="Arial" w:cs="Arial"/>
          <w:b/>
          <w:bCs/>
          <w:color w:val="212529"/>
          <w:sz w:val="20"/>
          <w:szCs w:val="20"/>
          <w:lang w:val="ru-RU"/>
        </w:rPr>
        <w:t>.</w:t>
      </w:r>
    </w:p>
    <w:p w14:paraId="561CD0C9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A829EBD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293F7F6F">
          <v:rect id="_x0000_i1026" style="width:0;height:1.5pt" o:hralign="center" o:hrstd="t" o:hr="t" fillcolor="#aaa" stroked="f"/>
        </w:pict>
      </w:r>
    </w:p>
    <w:p w14:paraId="70108BD4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5D135AF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Главные выводы исследования (апрель 2020)</w:t>
      </w:r>
    </w:p>
    <w:p w14:paraId="0605432F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2EF15ED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Директор РАЭК </w:t>
      </w:r>
      <w:hyperlink r:id="rId11" w:history="1">
        <w:r w:rsidRPr="00370349">
          <w:rPr>
            <w:rFonts w:ascii="Arial" w:hAnsi="Arial" w:cs="Arial"/>
            <w:b/>
            <w:bCs/>
            <w:color w:val="1155CC"/>
            <w:sz w:val="20"/>
            <w:szCs w:val="20"/>
            <w:u w:val="single"/>
            <w:lang w:val="ru-RU"/>
          </w:rPr>
          <w:t>Сергей Плуготаренко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озвучил 15 апреля главные выводы исследования:</w:t>
      </w:r>
    </w:p>
    <w:p w14:paraId="7928F33F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308A309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“Вклад экономики Рунета в экономику России в 2019 году составил 6,4 трлн рублей. При этом вклад основных сегментов составил 4,7 трлн рублей, показав прирост на 19% относительно 2018 года. Рассмотрим вклад отдельных хабов: маркетинг и реклама — 314 млрд руб.; инфраструктура — 126,8 млрд руб.; электронная коммерция — 4172,8 млрд руб.; медиа и развлечения — 85,7 млрд руб.. Непосредственный вклад мобильной экономики мы оцениваем в 1,7 трлн рублей”. </w:t>
      </w:r>
    </w:p>
    <w:p w14:paraId="6D636084" w14:textId="77777777" w:rsidR="00370349" w:rsidRP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87A9666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Четыре сценария развития Рунета</w:t>
      </w:r>
      <w:r w:rsidRPr="00370349">
        <w:rPr>
          <w:rFonts w:ascii="Arial" w:hAnsi="Arial" w:cs="Arial"/>
          <w:b/>
          <w:bCs/>
          <w:color w:val="000000"/>
          <w:lang w:val="ru-RU"/>
        </w:rPr>
        <w:t>: </w:t>
      </w:r>
    </w:p>
    <w:p w14:paraId="31E89701" w14:textId="77777777" w:rsidR="00370349" w:rsidRPr="00370349" w:rsidRDefault="00370349" w:rsidP="00370349">
      <w:pPr>
        <w:numPr>
          <w:ilvl w:val="0"/>
          <w:numId w:val="1"/>
        </w:numPr>
        <w:spacing w:before="200"/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Инновационный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(до 2014 года) - формирование рынков, резкий рост до 50% в год</w:t>
      </w:r>
    </w:p>
    <w:p w14:paraId="42F5D3EF" w14:textId="77777777" w:rsidR="00370349" w:rsidRPr="00370349" w:rsidRDefault="00370349" w:rsidP="00370349">
      <w:pPr>
        <w:numPr>
          <w:ilvl w:val="0"/>
          <w:numId w:val="1"/>
        </w:numPr>
        <w:spacing w:before="200"/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Негативный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(2014-2015 годы) - влияние общеэкономического кризиса 2014-2015 гг. Двукратное снижение темпов роста.</w:t>
      </w:r>
    </w:p>
    <w:p w14:paraId="6BD0581B" w14:textId="77777777" w:rsidR="00370349" w:rsidRPr="00370349" w:rsidRDefault="00370349" w:rsidP="00370349">
      <w:pPr>
        <w:numPr>
          <w:ilvl w:val="0"/>
          <w:numId w:val="1"/>
        </w:numPr>
        <w:spacing w:before="200"/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Стабилизационный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(2016-2019 годы) - восстановление после кризиса и переход к устойчивому росту в среднем на 15-20% в год</w:t>
      </w:r>
    </w:p>
    <w:p w14:paraId="32D0ED4F" w14:textId="77777777" w:rsidR="00370349" w:rsidRPr="00370349" w:rsidRDefault="00370349" w:rsidP="00370349">
      <w:pPr>
        <w:numPr>
          <w:ilvl w:val="0"/>
          <w:numId w:val="1"/>
        </w:numPr>
        <w:spacing w:before="200"/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Кризисный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(2020-?) </w:t>
      </w:r>
    </w:p>
    <w:p w14:paraId="142CBFF3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3CC955D" w14:textId="77777777" w:rsidR="00370349" w:rsidRDefault="00370349" w:rsidP="00370349">
      <w:pPr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lastRenderedPageBreak/>
        <w:t>“В 2020 году наиболее вероятна реализация последних двух сценариев: негативного (рост 6-10%) или кризисного (рост до 6%). Отмечу негативные внешние факторы: пандемия COVID-19, падение курса рубля, глобальное переформатирование экономики и общественных отношений, политика.  Скорость происходящих изменений пока не позволяет дать точные прогнозы. Существуют опасения, что экономический кризис будет намного глубже, чем кризис 2014-2015 гг”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, — подчеркнул Сергей Плуготаренко. </w:t>
      </w:r>
    </w:p>
    <w:p w14:paraId="2A8ABA39" w14:textId="77777777" w:rsidR="000F239F" w:rsidRPr="00370349" w:rsidRDefault="000F239F" w:rsidP="00370349">
      <w:pPr>
        <w:rPr>
          <w:rFonts w:ascii="Times" w:hAnsi="Times" w:cs="Times New Roman"/>
          <w:sz w:val="20"/>
          <w:szCs w:val="20"/>
          <w:lang w:val="ru-RU"/>
        </w:rPr>
      </w:pPr>
    </w:p>
    <w:p w14:paraId="2716E158" w14:textId="77777777" w:rsidR="00370349" w:rsidRPr="00370349" w:rsidRDefault="000F239F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40889BD" wp14:editId="5698C4EA">
            <wp:extent cx="5257800" cy="2959100"/>
            <wp:effectExtent l="0" t="0" r="0" b="12700"/>
            <wp:docPr id="19" name="Picture 19" descr="Macintosh HD:Users:vorobieva:Desktop:Снимок экрана 2020-04-14 в 19.36.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cintosh HD:Users:vorobieva:Desktop:Снимок экрана 2020-04-14 в 19.36.08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CFAF22" w14:textId="77777777" w:rsidR="000F239F" w:rsidRDefault="000F239F" w:rsidP="00370349">
      <w:pPr>
        <w:rPr>
          <w:rFonts w:ascii="Arial" w:hAnsi="Arial" w:cs="Arial"/>
          <w:color w:val="000000"/>
          <w:sz w:val="20"/>
          <w:szCs w:val="20"/>
          <w:lang w:val="ru-RU"/>
        </w:rPr>
      </w:pPr>
    </w:p>
    <w:p w14:paraId="417E6DBD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По данным Mediascope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 феврале 2020 года аудитория Рунета составила 96,7 млн человек или 79% населения страны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(это те пользователи, которые пользуются интернетом хотя бы раз в месяц): </w:t>
      </w:r>
    </w:p>
    <w:p w14:paraId="2A44C2F4" w14:textId="77777777" w:rsidR="00370349" w:rsidRPr="00370349" w:rsidRDefault="00370349" w:rsidP="00370349">
      <w:pPr>
        <w:numPr>
          <w:ilvl w:val="0"/>
          <w:numId w:val="2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по сравнению с аналогичным периодом прошлого года составил +4,2%. </w:t>
      </w:r>
    </w:p>
    <w:p w14:paraId="2AF7D592" w14:textId="77777777" w:rsidR="00370349" w:rsidRPr="00370349" w:rsidRDefault="00370349" w:rsidP="00370349">
      <w:pPr>
        <w:numPr>
          <w:ilvl w:val="0"/>
          <w:numId w:val="2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При этом 90% пользователей интернета заходят в сеть каждый день. </w:t>
      </w:r>
    </w:p>
    <w:p w14:paraId="00C90E18" w14:textId="77777777" w:rsidR="00370349" w:rsidRPr="00370349" w:rsidRDefault="00370349" w:rsidP="00370349">
      <w:pPr>
        <w:numPr>
          <w:ilvl w:val="0"/>
          <w:numId w:val="2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Аудитория мобильного интернета в России составляет 86,2 млн человек или 70,5% населения страны, а эксклюзивная аудитория составляет 34 млн человек. </w:t>
      </w:r>
    </w:p>
    <w:p w14:paraId="3C2E7035" w14:textId="77777777" w:rsidR="000F239F" w:rsidRPr="00370349" w:rsidRDefault="00370349" w:rsidP="000F239F">
      <w:pPr>
        <w:numPr>
          <w:ilvl w:val="0"/>
          <w:numId w:val="2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Мобильный телефон является основным источником интернет-трафика, а десктоп продолжает терять аудиторию. </w:t>
      </w:r>
    </w:p>
    <w:p w14:paraId="5C9371A7" w14:textId="77777777" w:rsidR="000F239F" w:rsidRDefault="000F239F" w:rsidP="00370349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DC73A1F" wp14:editId="1F0D8D6E">
            <wp:extent cx="5270500" cy="2946400"/>
            <wp:effectExtent l="0" t="0" r="12700" b="0"/>
            <wp:docPr id="21" name="Picture 21" descr="Macintosh HD:Users:vorobieva:Desktop:Снимок экрана 2020-04-14 в 19.36.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vorobieva:Desktop:Снимок экрана 2020-04-14 в 19.36.1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9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BF527" w14:textId="77777777" w:rsidR="000F239F" w:rsidRPr="00370349" w:rsidRDefault="000F239F" w:rsidP="00370349">
      <w:pPr>
        <w:spacing w:after="240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717898B4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Мобильная Экономика России трудоустроила 470 тыс. человек</w:t>
      </w:r>
    </w:p>
    <w:p w14:paraId="3A8732C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FB463E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Директор РАЭК также представил данные по количеству людей занятых в ИКТ-отраслях. </w:t>
      </w:r>
    </w:p>
    <w:p w14:paraId="76693356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Общая численность ИКТ-кадров в России в 2019 году составила 1,8 млн человек (данные АПКИТ).</w:t>
      </w:r>
    </w:p>
    <w:p w14:paraId="3CE360D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A0779B6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Из них:</w:t>
      </w:r>
    </w:p>
    <w:p w14:paraId="0BD53840" w14:textId="77777777" w:rsidR="00370349" w:rsidRPr="00370349" w:rsidRDefault="00370349" w:rsidP="00370349">
      <w:pPr>
        <w:numPr>
          <w:ilvl w:val="0"/>
          <w:numId w:val="3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0,95 млн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– заняты в ИТ-сфере в организациях различных отраслей экономики и в госучреждениях</w:t>
      </w:r>
    </w:p>
    <w:p w14:paraId="0DDBAFEB" w14:textId="77777777" w:rsidR="00370349" w:rsidRPr="00370349" w:rsidRDefault="00370349" w:rsidP="00370349">
      <w:pPr>
        <w:numPr>
          <w:ilvl w:val="0"/>
          <w:numId w:val="3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0,5 млн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– заняты в ИТ-отрасли</w:t>
      </w:r>
    </w:p>
    <w:p w14:paraId="3FF8747B" w14:textId="77777777" w:rsidR="00370349" w:rsidRPr="00370349" w:rsidRDefault="00370349" w:rsidP="00370349">
      <w:pPr>
        <w:numPr>
          <w:ilvl w:val="0"/>
          <w:numId w:val="3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0,35 млн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– заняты в сфере телекоммуникаций</w:t>
      </w:r>
    </w:p>
    <w:p w14:paraId="39996FA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E5DDCEB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Доля ИКТ-кадров среди экономически активного населения России составляет 2,4%.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Аналогичный показатель в среднем по Европе составляет 3,9%, в Финляндии  - 7%, в Великобритании - 5%, в Норвегии - 4,5%, в Чехии, Франции, Германии - 4%, в Польше - 3%.</w:t>
      </w:r>
    </w:p>
    <w:p w14:paraId="01F10F7F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7EC32BC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“</w:t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>470 тыс. человек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составляет сегодня общее число рабочих мест в России, </w:t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связанных с сектором разработки мобильных технологий.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Такие данные получены по результатам </w:t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>исследования влияния мобильных технологий на занятость в России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, которое</w:t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РАЭК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реализовал совместно с</w:t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НИУ ВШЭ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при поддержке</w:t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 xml:space="preserve"> Google. </w:t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br/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br/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По числу рабочих мест Россия занимает 3 место в мире, уступая только США (1729 тыс. человек) и Японии (579 тыс. человек).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br/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br/>
      </w:r>
      <w:r w:rsidRPr="00370349">
        <w:rPr>
          <w:rFonts w:ascii="Arial" w:hAnsi="Arial" w:cs="Arial"/>
          <w:b/>
          <w:bCs/>
          <w:i/>
          <w:iCs/>
          <w:color w:val="000000"/>
          <w:sz w:val="20"/>
          <w:szCs w:val="20"/>
          <w:lang w:val="ru-RU"/>
        </w:rPr>
        <w:t>Около 1,1 млн человек составит число рабочих мест, связанных с разработкой мобильных технологий к 2022 году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 xml:space="preserve"> в связи с предполагаемым расширением спроса на мобильные решения со стороны бизнеса и населения. Среднегодовые темпы роста оцениваются в 24%”,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— отметил Сергей. </w:t>
      </w:r>
    </w:p>
    <w:p w14:paraId="5B632798" w14:textId="77777777" w:rsid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5F2E623" w14:textId="77777777" w:rsidR="000F239F" w:rsidRPr="00370349" w:rsidRDefault="000F239F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>
        <w:rPr>
          <w:rFonts w:ascii="Times" w:eastAsia="Times New Roman" w:hAnsi="Times" w:cs="Times New Roman"/>
          <w:noProof/>
          <w:sz w:val="20"/>
          <w:szCs w:val="20"/>
        </w:rPr>
        <w:drawing>
          <wp:inline distT="0" distB="0" distL="0" distR="0" wp14:anchorId="65F78A74" wp14:editId="648767A5">
            <wp:extent cx="5270500" cy="2882900"/>
            <wp:effectExtent l="0" t="0" r="12700" b="12700"/>
            <wp:docPr id="22" name="Picture 22" descr="Macintosh HD:Users:vorobieva:Desktop:Снимок экрана 2020-04-14 в 19.36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vorobieva:Desktop:Снимок экрана 2020-04-14 в 19.36.2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73801D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>Прогнозы развития отдельно по сегментам</w:t>
      </w:r>
    </w:p>
    <w:p w14:paraId="3406C99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370F676" w14:textId="77777777" w:rsidR="00370349" w:rsidRPr="00370349" w:rsidRDefault="00370349" w:rsidP="00370349">
      <w:pPr>
        <w:numPr>
          <w:ilvl w:val="0"/>
          <w:numId w:val="4"/>
        </w:numPr>
        <w:textAlignment w:val="baseline"/>
        <w:rPr>
          <w:rFonts w:ascii="Arial" w:hAnsi="Arial" w:cs="Arial"/>
          <w:b/>
          <w:bCs/>
          <w:color w:val="000000"/>
          <w:lang w:val="ru-RU"/>
        </w:rPr>
      </w:pPr>
      <w:r w:rsidRPr="00370349">
        <w:rPr>
          <w:rFonts w:ascii="Arial" w:hAnsi="Arial" w:cs="Arial"/>
          <w:b/>
          <w:bCs/>
          <w:color w:val="000000"/>
          <w:lang w:val="ru-RU"/>
        </w:rPr>
        <w:t>Маркетинг и реклама (прогноз по сегменту на 2020 год)</w:t>
      </w:r>
    </w:p>
    <w:p w14:paraId="1FABB45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932D656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Аналитики РАЭК выделили 2 сценария (без учета и с учетом влияния пандемии COVID-19):</w:t>
      </w:r>
    </w:p>
    <w:p w14:paraId="4E555B7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BA29CE0" w14:textId="77777777" w:rsidR="00370349" w:rsidRPr="00370349" w:rsidRDefault="00370349" w:rsidP="00370349">
      <w:pPr>
        <w:numPr>
          <w:ilvl w:val="0"/>
          <w:numId w:val="5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“до событий марта 2020”: </w:t>
      </w:r>
    </w:p>
    <w:p w14:paraId="68692380" w14:textId="77777777" w:rsidR="00370349" w:rsidRPr="00370349" w:rsidRDefault="00370349" w:rsidP="00370349">
      <w:pPr>
        <w:numPr>
          <w:ilvl w:val="1"/>
          <w:numId w:val="6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+18% по итогам 2020 года</w:t>
      </w:r>
    </w:p>
    <w:p w14:paraId="2483D572" w14:textId="77777777" w:rsidR="00370349" w:rsidRPr="00370349" w:rsidRDefault="00370349" w:rsidP="00370349">
      <w:pPr>
        <w:numPr>
          <w:ilvl w:val="1"/>
          <w:numId w:val="6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370 млрд руб. - прогнозируемый объем</w:t>
      </w:r>
    </w:p>
    <w:p w14:paraId="70A03820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D9608ED" w14:textId="77777777" w:rsidR="00370349" w:rsidRPr="00370349" w:rsidRDefault="00370349" w:rsidP="00370349">
      <w:pPr>
        <w:numPr>
          <w:ilvl w:val="0"/>
          <w:numId w:val="7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“с учетом событий марта-апреля 2020”:</w:t>
      </w:r>
    </w:p>
    <w:p w14:paraId="0FE15C1E" w14:textId="77777777" w:rsidR="00370349" w:rsidRPr="00370349" w:rsidRDefault="00370349" w:rsidP="00370349">
      <w:pPr>
        <w:numPr>
          <w:ilvl w:val="1"/>
          <w:numId w:val="8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+10% по итогам 2020 года</w:t>
      </w:r>
    </w:p>
    <w:p w14:paraId="5397B394" w14:textId="77777777" w:rsidR="00370349" w:rsidRPr="00370349" w:rsidRDefault="00370349" w:rsidP="00370349">
      <w:pPr>
        <w:numPr>
          <w:ilvl w:val="1"/>
          <w:numId w:val="8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346 млрд руб. - прогнозируемый объем</w:t>
      </w:r>
    </w:p>
    <w:p w14:paraId="7DD115F2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943D54E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Ожидаемые негативные тенденции:</w:t>
      </w:r>
    </w:p>
    <w:p w14:paraId="1A5AFCDC" w14:textId="77777777" w:rsidR="00370349" w:rsidRPr="00370349" w:rsidRDefault="00370349" w:rsidP="00370349">
      <w:pPr>
        <w:numPr>
          <w:ilvl w:val="0"/>
          <w:numId w:val="9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отказ от рекламных размещений либо перенос рекламных кампаний на более поздние сроки</w:t>
      </w:r>
    </w:p>
    <w:p w14:paraId="2FA35080" w14:textId="77777777" w:rsidR="00370349" w:rsidRPr="00370349" w:rsidRDefault="00370349" w:rsidP="00370349">
      <w:pPr>
        <w:numPr>
          <w:ilvl w:val="0"/>
          <w:numId w:val="9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отказ от экспериментов с рекламными форматами, переориентация бюджетов на более дешевый инвентарь</w:t>
      </w:r>
    </w:p>
    <w:p w14:paraId="27540A67" w14:textId="77777777" w:rsidR="00370349" w:rsidRPr="00370349" w:rsidRDefault="00370349" w:rsidP="00370349">
      <w:pPr>
        <w:numPr>
          <w:ilvl w:val="0"/>
          <w:numId w:val="9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наиболее сильное падение ожидается на рынке медийной рекламы</w:t>
      </w:r>
    </w:p>
    <w:p w14:paraId="5E1FEB55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993F486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Факторы поддержки:</w:t>
      </w:r>
    </w:p>
    <w:p w14:paraId="0C186797" w14:textId="77777777" w:rsidR="00370349" w:rsidRPr="00370349" w:rsidRDefault="00370349" w:rsidP="00370349">
      <w:pPr>
        <w:numPr>
          <w:ilvl w:val="0"/>
          <w:numId w:val="10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Повышение доступности рекламных кампаний за счет дешевого инвентаря</w:t>
      </w:r>
    </w:p>
    <w:p w14:paraId="1F4AB418" w14:textId="77777777" w:rsidR="00370349" w:rsidRPr="00370349" w:rsidRDefault="00370349" w:rsidP="00370349">
      <w:pPr>
        <w:numPr>
          <w:ilvl w:val="0"/>
          <w:numId w:val="10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Востребованность контекстной рекламы и других Performance-форматов</w:t>
      </w:r>
    </w:p>
    <w:p w14:paraId="0FEBC4F4" w14:textId="77777777" w:rsidR="00370349" w:rsidRPr="00370349" w:rsidRDefault="00370349" w:rsidP="00370349">
      <w:pPr>
        <w:numPr>
          <w:ilvl w:val="0"/>
          <w:numId w:val="10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перенос рекламных кампаний из офлайна в онлайн</w:t>
      </w:r>
    </w:p>
    <w:p w14:paraId="62EF7C03" w14:textId="77777777" w:rsidR="00370349" w:rsidRPr="00370349" w:rsidRDefault="00370349" w:rsidP="00370349">
      <w:pPr>
        <w:numPr>
          <w:ilvl w:val="0"/>
          <w:numId w:val="10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рекламной активности со стороны наименее затронутых кризисом игроков (онлайн-обучение, фуд-ритейл и доставка готовой еды, сервисы с развлекательным контентом)</w:t>
      </w:r>
    </w:p>
    <w:p w14:paraId="187561D9" w14:textId="77777777" w:rsidR="00370349" w:rsidRP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A3784BE" w14:textId="77777777" w:rsidR="00370349" w:rsidRPr="00370349" w:rsidRDefault="00370349" w:rsidP="00370349">
      <w:pPr>
        <w:numPr>
          <w:ilvl w:val="0"/>
          <w:numId w:val="11"/>
        </w:numPr>
        <w:textAlignment w:val="baseline"/>
        <w:rPr>
          <w:rFonts w:ascii="Arial" w:hAnsi="Arial" w:cs="Arial"/>
          <w:b/>
          <w:bCs/>
          <w:color w:val="000000"/>
          <w:lang w:val="ru-RU"/>
        </w:rPr>
      </w:pPr>
      <w:r w:rsidRPr="00370349">
        <w:rPr>
          <w:rFonts w:ascii="Arial" w:hAnsi="Arial" w:cs="Arial"/>
          <w:b/>
          <w:bCs/>
          <w:color w:val="000000"/>
          <w:lang w:val="ru-RU"/>
        </w:rPr>
        <w:t>Электронная коммерция (прогноз по сегменту на 2020 год)</w:t>
      </w:r>
    </w:p>
    <w:p w14:paraId="6EEC4EB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A953060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Аналитики РАЭК выделили 2 сценария ((без учета и с учетом влияния пандемии COVID-19):</w:t>
      </w:r>
    </w:p>
    <w:p w14:paraId="486DC7FD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69E0B27" w14:textId="77777777" w:rsidR="00370349" w:rsidRPr="00370349" w:rsidRDefault="00370349" w:rsidP="00370349">
      <w:pPr>
        <w:numPr>
          <w:ilvl w:val="0"/>
          <w:numId w:val="12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“до событий марта 2020”: </w:t>
      </w:r>
    </w:p>
    <w:p w14:paraId="681EB3A1" w14:textId="77777777" w:rsidR="00370349" w:rsidRPr="00370349" w:rsidRDefault="00370349" w:rsidP="00370349">
      <w:pPr>
        <w:numPr>
          <w:ilvl w:val="1"/>
          <w:numId w:val="13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+18% по итогам 2020 года </w:t>
      </w:r>
    </w:p>
    <w:p w14:paraId="7CDE06DE" w14:textId="77777777" w:rsidR="00370349" w:rsidRPr="00370349" w:rsidRDefault="00370349" w:rsidP="00370349">
      <w:pPr>
        <w:numPr>
          <w:ilvl w:val="1"/>
          <w:numId w:val="13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4912 млрд руб. - прогнозируемый объем</w:t>
      </w:r>
    </w:p>
    <w:p w14:paraId="6CBA7B9D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92537BC" w14:textId="77777777" w:rsidR="00370349" w:rsidRPr="00370349" w:rsidRDefault="00370349" w:rsidP="00370349">
      <w:pPr>
        <w:numPr>
          <w:ilvl w:val="0"/>
          <w:numId w:val="14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“с учетом событий марта-апреля 2020”:</w:t>
      </w:r>
    </w:p>
    <w:p w14:paraId="33D81152" w14:textId="77777777" w:rsidR="00370349" w:rsidRPr="00370349" w:rsidRDefault="00370349" w:rsidP="00370349">
      <w:pPr>
        <w:numPr>
          <w:ilvl w:val="1"/>
          <w:numId w:val="15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+6% по итогам 2020 года </w:t>
      </w:r>
    </w:p>
    <w:p w14:paraId="031D5175" w14:textId="77777777" w:rsidR="00370349" w:rsidRPr="00370349" w:rsidRDefault="00370349" w:rsidP="00370349">
      <w:pPr>
        <w:numPr>
          <w:ilvl w:val="1"/>
          <w:numId w:val="15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4426 млрд руб. - прогнозируемый объем</w:t>
      </w:r>
    </w:p>
    <w:p w14:paraId="16CAA0BE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6854515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Ожидаемые негативные тенденции:</w:t>
      </w:r>
    </w:p>
    <w:p w14:paraId="71B81FFA" w14:textId="77777777" w:rsidR="00370349" w:rsidRPr="00370349" w:rsidRDefault="00370349" w:rsidP="00370349">
      <w:pPr>
        <w:numPr>
          <w:ilvl w:val="0"/>
          <w:numId w:val="16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падение количества заказов и величины среднего чека. Товарные категории в группе риска: одежда и обувь, товары для отдыха и путешествий, бытовая и аудио/видео техника. Наименьшее снижение ожидается по группам товаров “первой необходимости”: продукты питания и доставка готовой еды, товары для здоровья, детские товары, зоотовары</w:t>
      </w:r>
    </w:p>
    <w:p w14:paraId="3FAFA2A5" w14:textId="77777777" w:rsidR="00370349" w:rsidRPr="00370349" w:rsidRDefault="00370349" w:rsidP="00370349">
      <w:pPr>
        <w:numPr>
          <w:ilvl w:val="0"/>
          <w:numId w:val="16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перебои с поставками товаров из-за рубежа и существенное повышение их стоимости</w:t>
      </w:r>
    </w:p>
    <w:p w14:paraId="4FFF7247" w14:textId="77777777" w:rsidR="00370349" w:rsidRPr="00370349" w:rsidRDefault="00370349" w:rsidP="00370349">
      <w:pPr>
        <w:numPr>
          <w:ilvl w:val="0"/>
          <w:numId w:val="16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нулевая или отрицательная динамика рынка онлайн-тревел, транспортных услуг</w:t>
      </w:r>
    </w:p>
    <w:p w14:paraId="15CFDB92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2273858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Факторы поддержки:</w:t>
      </w:r>
    </w:p>
    <w:p w14:paraId="15A96CAD" w14:textId="77777777" w:rsidR="00370349" w:rsidRPr="00370349" w:rsidRDefault="00370349" w:rsidP="00370349">
      <w:pPr>
        <w:numPr>
          <w:ilvl w:val="0"/>
          <w:numId w:val="17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сохранение спроса на отдельные группы товаров</w:t>
      </w:r>
    </w:p>
    <w:p w14:paraId="1FBAE11F" w14:textId="77777777" w:rsidR="00370349" w:rsidRPr="00370349" w:rsidRDefault="00370349" w:rsidP="00370349">
      <w:pPr>
        <w:numPr>
          <w:ilvl w:val="0"/>
          <w:numId w:val="17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снятие ограничений на дистанционную торговлю лекарственными средствами</w:t>
      </w:r>
    </w:p>
    <w:p w14:paraId="5F5B258C" w14:textId="77777777" w:rsidR="00370349" w:rsidRPr="00370349" w:rsidRDefault="00370349" w:rsidP="00370349">
      <w:pPr>
        <w:numPr>
          <w:ilvl w:val="0"/>
          <w:numId w:val="17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формирование привычки к онлайн-покупкам</w:t>
      </w:r>
    </w:p>
    <w:p w14:paraId="46BC4A0B" w14:textId="77777777" w:rsidR="00370349" w:rsidRPr="00370349" w:rsidRDefault="00370349" w:rsidP="00370349">
      <w:pPr>
        <w:numPr>
          <w:ilvl w:val="0"/>
          <w:numId w:val="17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C2C-коммерция</w:t>
      </w:r>
    </w:p>
    <w:p w14:paraId="40716E33" w14:textId="77777777" w:rsidR="00370349" w:rsidRPr="00370349" w:rsidRDefault="00370349" w:rsidP="00370349">
      <w:pPr>
        <w:numPr>
          <w:ilvl w:val="0"/>
          <w:numId w:val="17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онлайн-образование и дистанционное обучение</w:t>
      </w:r>
    </w:p>
    <w:p w14:paraId="5A9D6B13" w14:textId="77777777" w:rsidR="00370349" w:rsidRPr="00370349" w:rsidRDefault="00370349" w:rsidP="00370349">
      <w:pPr>
        <w:numPr>
          <w:ilvl w:val="0"/>
          <w:numId w:val="17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доли безналичных платежей</w:t>
      </w:r>
    </w:p>
    <w:p w14:paraId="64219BDB" w14:textId="77777777" w:rsidR="00370349" w:rsidRP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865063C" w14:textId="77777777" w:rsidR="00370349" w:rsidRPr="00370349" w:rsidRDefault="00370349" w:rsidP="00370349">
      <w:pPr>
        <w:numPr>
          <w:ilvl w:val="0"/>
          <w:numId w:val="18"/>
        </w:numPr>
        <w:textAlignment w:val="baseline"/>
        <w:rPr>
          <w:rFonts w:ascii="Arial" w:hAnsi="Arial" w:cs="Arial"/>
          <w:b/>
          <w:bCs/>
          <w:color w:val="000000"/>
          <w:lang w:val="ru-RU"/>
        </w:rPr>
      </w:pPr>
      <w:r w:rsidRPr="00370349">
        <w:rPr>
          <w:rFonts w:ascii="Arial" w:hAnsi="Arial" w:cs="Arial"/>
          <w:b/>
          <w:bCs/>
          <w:color w:val="000000"/>
          <w:lang w:val="ru-RU"/>
        </w:rPr>
        <w:t>Инфраструктура (прогноз по сегменту на 2020 год)</w:t>
      </w:r>
    </w:p>
    <w:p w14:paraId="56AD184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989CFAF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Аналитики РАЭК выделили 2 сценария ((без учета и с учетом влияния пандемии COVID-19):</w:t>
      </w:r>
    </w:p>
    <w:p w14:paraId="46F14FA1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288B246" w14:textId="77777777" w:rsidR="00370349" w:rsidRPr="00370349" w:rsidRDefault="00370349" w:rsidP="00370349">
      <w:pPr>
        <w:numPr>
          <w:ilvl w:val="0"/>
          <w:numId w:val="19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“до событий марта 2020”: </w:t>
      </w:r>
    </w:p>
    <w:p w14:paraId="412BF8A7" w14:textId="77777777" w:rsidR="00370349" w:rsidRPr="00370349" w:rsidRDefault="00370349" w:rsidP="00370349">
      <w:pPr>
        <w:numPr>
          <w:ilvl w:val="1"/>
          <w:numId w:val="20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+21% по итогам 2020 года</w:t>
      </w:r>
    </w:p>
    <w:p w14:paraId="4EEEF49C" w14:textId="77777777" w:rsidR="00370349" w:rsidRPr="00370349" w:rsidRDefault="00370349" w:rsidP="00370349">
      <w:pPr>
        <w:numPr>
          <w:ilvl w:val="1"/>
          <w:numId w:val="20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153 млрд руб. - прогнозируемый объем</w:t>
      </w:r>
    </w:p>
    <w:p w14:paraId="402AEBA0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99E22A1" w14:textId="77777777" w:rsidR="00370349" w:rsidRPr="00370349" w:rsidRDefault="00370349" w:rsidP="00370349">
      <w:pPr>
        <w:numPr>
          <w:ilvl w:val="0"/>
          <w:numId w:val="21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“с учетом событий марта-апреля 2020”:</w:t>
      </w:r>
    </w:p>
    <w:p w14:paraId="52A35B98" w14:textId="77777777" w:rsidR="00370349" w:rsidRPr="00370349" w:rsidRDefault="00370349" w:rsidP="00370349">
      <w:pPr>
        <w:numPr>
          <w:ilvl w:val="1"/>
          <w:numId w:val="22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+8% по итогам 2020 года</w:t>
      </w:r>
    </w:p>
    <w:p w14:paraId="5FFDBFA4" w14:textId="77777777" w:rsidR="00370349" w:rsidRPr="00370349" w:rsidRDefault="00370349" w:rsidP="00370349">
      <w:pPr>
        <w:numPr>
          <w:ilvl w:val="1"/>
          <w:numId w:val="22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137 млрд руб. - прогнозируемый объем</w:t>
      </w:r>
    </w:p>
    <w:p w14:paraId="24ADE639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E65E4E9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Ожидаемые негативные тенденции:</w:t>
      </w:r>
    </w:p>
    <w:p w14:paraId="660B8E11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45610B1" w14:textId="77777777" w:rsidR="00370349" w:rsidRPr="00370349" w:rsidRDefault="00370349" w:rsidP="00370349">
      <w:pPr>
        <w:numPr>
          <w:ilvl w:val="0"/>
          <w:numId w:val="23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сворачивание долгосрочных проектов по развитию инфраструктуры</w:t>
      </w:r>
    </w:p>
    <w:p w14:paraId="54CB536E" w14:textId="77777777" w:rsidR="00370349" w:rsidRPr="00370349" w:rsidRDefault="00370349" w:rsidP="00370349">
      <w:pPr>
        <w:numPr>
          <w:ilvl w:val="0"/>
          <w:numId w:val="23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снижение доходов регистраторов доменов из-за невозможности клиентов оплачивать их услуги</w:t>
      </w:r>
    </w:p>
    <w:p w14:paraId="174C89D7" w14:textId="77777777" w:rsidR="00370349" w:rsidRPr="00370349" w:rsidRDefault="00370349" w:rsidP="00370349">
      <w:pPr>
        <w:numPr>
          <w:ilvl w:val="0"/>
          <w:numId w:val="23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дополнительные издержки в связи с реализацией регуляторных требований</w:t>
      </w:r>
    </w:p>
    <w:p w14:paraId="6E50BFA4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AD4DBCF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Факторы поддержки:</w:t>
      </w:r>
    </w:p>
    <w:p w14:paraId="430156F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571EF24" w14:textId="77777777" w:rsidR="00370349" w:rsidRPr="00370349" w:rsidRDefault="00370349" w:rsidP="00370349">
      <w:pPr>
        <w:numPr>
          <w:ilvl w:val="0"/>
          <w:numId w:val="24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спроса на облачные технологии в связи с массовым переходом на удаленную работу </w:t>
      </w:r>
    </w:p>
    <w:p w14:paraId="1EEFEE67" w14:textId="77777777" w:rsidR="00370349" w:rsidRPr="00370349" w:rsidRDefault="00370349" w:rsidP="00370349">
      <w:pPr>
        <w:numPr>
          <w:ilvl w:val="0"/>
          <w:numId w:val="24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необходимость выполнения положений законодательства в части локализации хранения данных</w:t>
      </w:r>
    </w:p>
    <w:p w14:paraId="7599B35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4820D37" w14:textId="77777777" w:rsidR="00370349" w:rsidRPr="00370349" w:rsidRDefault="00370349" w:rsidP="00370349">
      <w:pPr>
        <w:numPr>
          <w:ilvl w:val="0"/>
          <w:numId w:val="25"/>
        </w:numPr>
        <w:textAlignment w:val="baseline"/>
        <w:rPr>
          <w:rFonts w:ascii="Arial" w:hAnsi="Arial" w:cs="Arial"/>
          <w:b/>
          <w:bCs/>
          <w:color w:val="000000"/>
          <w:lang w:val="ru-RU"/>
        </w:rPr>
      </w:pPr>
      <w:r w:rsidRPr="00370349">
        <w:rPr>
          <w:rFonts w:ascii="Arial" w:hAnsi="Arial" w:cs="Arial"/>
          <w:b/>
          <w:bCs/>
          <w:color w:val="000000"/>
          <w:lang w:val="ru-RU"/>
        </w:rPr>
        <w:t>Цифровой контент (прогноз по сегменту на 2020 год)</w:t>
      </w:r>
    </w:p>
    <w:p w14:paraId="2C41AD28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E9C9784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Аналитики РАЭК выделили 2 сценария (без учета и с учетом влияния пандемии COVID-19):</w:t>
      </w:r>
    </w:p>
    <w:p w14:paraId="086DA7CE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1CB3F42" w14:textId="77777777" w:rsidR="00370349" w:rsidRPr="00370349" w:rsidRDefault="00370349" w:rsidP="00370349">
      <w:pPr>
        <w:numPr>
          <w:ilvl w:val="0"/>
          <w:numId w:val="26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“до событий марта 2020”: </w:t>
      </w:r>
    </w:p>
    <w:p w14:paraId="1D46B460" w14:textId="77777777" w:rsidR="00370349" w:rsidRPr="00370349" w:rsidRDefault="00370349" w:rsidP="00370349">
      <w:pPr>
        <w:numPr>
          <w:ilvl w:val="1"/>
          <w:numId w:val="27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+14% по итогам 2020 года</w:t>
      </w:r>
    </w:p>
    <w:p w14:paraId="3C8281D8" w14:textId="77777777" w:rsidR="00370349" w:rsidRPr="00370349" w:rsidRDefault="00370349" w:rsidP="00370349">
      <w:pPr>
        <w:numPr>
          <w:ilvl w:val="1"/>
          <w:numId w:val="27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98 млрд руб. - прогнозируемый объем</w:t>
      </w:r>
    </w:p>
    <w:p w14:paraId="75BC136E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B426C9B" w14:textId="77777777" w:rsidR="00370349" w:rsidRPr="00370349" w:rsidRDefault="00370349" w:rsidP="00370349">
      <w:pPr>
        <w:numPr>
          <w:ilvl w:val="0"/>
          <w:numId w:val="28"/>
        </w:numPr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Сценарий “с учетом событий марта-апреля 2020”:</w:t>
      </w:r>
    </w:p>
    <w:p w14:paraId="4E4D43B5" w14:textId="77777777" w:rsidR="00370349" w:rsidRPr="00370349" w:rsidRDefault="00370349" w:rsidP="00370349">
      <w:pPr>
        <w:numPr>
          <w:ilvl w:val="1"/>
          <w:numId w:val="29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+8 по итогам 2020 года</w:t>
      </w:r>
    </w:p>
    <w:p w14:paraId="052B68F3" w14:textId="77777777" w:rsidR="00370349" w:rsidRPr="00370349" w:rsidRDefault="00370349" w:rsidP="00370349">
      <w:pPr>
        <w:numPr>
          <w:ilvl w:val="1"/>
          <w:numId w:val="29"/>
        </w:numPr>
        <w:spacing w:before="200"/>
        <w:ind w:left="216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93 млрд руб. - прогнозируемый объем</w:t>
      </w:r>
    </w:p>
    <w:p w14:paraId="6D65DEDB" w14:textId="77777777" w:rsidR="00370349" w:rsidRP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8237AAE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Ожидаемые негативные тенденции:</w:t>
      </w:r>
    </w:p>
    <w:p w14:paraId="0426609F" w14:textId="77777777" w:rsidR="00370349" w:rsidRPr="00370349" w:rsidRDefault="00370349" w:rsidP="00370349">
      <w:pPr>
        <w:numPr>
          <w:ilvl w:val="0"/>
          <w:numId w:val="30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падение доходов от размещения рекламы</w:t>
      </w:r>
    </w:p>
    <w:p w14:paraId="4F556D88" w14:textId="77777777" w:rsidR="00370349" w:rsidRPr="00370349" w:rsidRDefault="00370349" w:rsidP="00370349">
      <w:pPr>
        <w:numPr>
          <w:ilvl w:val="0"/>
          <w:numId w:val="30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снижение платящей доли аудитории</w:t>
      </w:r>
    </w:p>
    <w:p w14:paraId="1B57D5F9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3B86396" w14:textId="77777777" w:rsidR="00370349" w:rsidRPr="00370349" w:rsidRDefault="00370349" w:rsidP="00370349">
      <w:pPr>
        <w:ind w:left="7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Факторы поддержки:</w:t>
      </w:r>
    </w:p>
    <w:p w14:paraId="23D138D3" w14:textId="77777777" w:rsidR="00370349" w:rsidRPr="00370349" w:rsidRDefault="00370349" w:rsidP="00370349">
      <w:pPr>
        <w:numPr>
          <w:ilvl w:val="0"/>
          <w:numId w:val="31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потребления контента</w:t>
      </w:r>
    </w:p>
    <w:p w14:paraId="2C7DCD7F" w14:textId="77777777" w:rsidR="00370349" w:rsidRPr="00370349" w:rsidRDefault="00370349" w:rsidP="00370349">
      <w:pPr>
        <w:numPr>
          <w:ilvl w:val="0"/>
          <w:numId w:val="31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повышение вовлеченности аудитории</w:t>
      </w:r>
    </w:p>
    <w:p w14:paraId="7141489E" w14:textId="77777777" w:rsidR="00370349" w:rsidRPr="00370349" w:rsidRDefault="00370349" w:rsidP="00370349">
      <w:pPr>
        <w:numPr>
          <w:ilvl w:val="0"/>
          <w:numId w:val="31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потоковые сервисы с оплатой за подписку</w:t>
      </w:r>
    </w:p>
    <w:p w14:paraId="708BBA2D" w14:textId="77777777" w:rsidR="00370349" w:rsidRPr="00370349" w:rsidRDefault="00370349" w:rsidP="00370349">
      <w:pPr>
        <w:numPr>
          <w:ilvl w:val="0"/>
          <w:numId w:val="31"/>
        </w:numPr>
        <w:spacing w:before="200"/>
        <w:ind w:left="14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игрового сегмента, в том числе за счет привлечения новых пользователей</w:t>
      </w:r>
    </w:p>
    <w:p w14:paraId="3B723607" w14:textId="77777777" w:rsidR="00370349" w:rsidRP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78F70C1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39A0072C">
          <v:rect id="_x0000_i1027" style="width:0;height:1.5pt" o:hralign="center" o:hrstd="t" o:hr="t" fillcolor="#aaa" stroked="f"/>
        </w:pict>
      </w:r>
    </w:p>
    <w:p w14:paraId="44E55728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36"/>
          <w:szCs w:val="36"/>
          <w:lang w:val="ru-RU"/>
        </w:rPr>
        <w:t>Экономика Рунета 2019-2020: хабы и срезы</w:t>
      </w:r>
    </w:p>
    <w:p w14:paraId="2D4D7878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0134C6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Аналитики РАЭК </w:t>
      </w:r>
      <w:hyperlink r:id="rId15" w:history="1">
        <w:r w:rsidRPr="00370349">
          <w:rPr>
            <w:rFonts w:ascii="Arial" w:hAnsi="Arial" w:cs="Arial"/>
            <w:b/>
            <w:bCs/>
            <w:color w:val="1155CC"/>
            <w:sz w:val="20"/>
            <w:szCs w:val="20"/>
            <w:u w:val="single"/>
            <w:lang w:val="ru-RU"/>
          </w:rPr>
          <w:t>Карен Казарян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и </w:t>
      </w:r>
      <w:hyperlink r:id="rId16" w:history="1">
        <w:r w:rsidRPr="00370349">
          <w:rPr>
            <w:rFonts w:ascii="Arial" w:hAnsi="Arial" w:cs="Arial"/>
            <w:b/>
            <w:bCs/>
            <w:color w:val="1155CC"/>
            <w:sz w:val="20"/>
            <w:szCs w:val="20"/>
            <w:u w:val="single"/>
            <w:lang w:val="ru-RU"/>
          </w:rPr>
          <w:t>Мария Сайкина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провели подробную презентацию исследования “Экономика Рунета 2019-2020 / Экосистема цифровой экономики России” (</w:t>
      </w:r>
      <w:hyperlink r:id="rId17" w:history="1">
        <w:r w:rsidRPr="00370349">
          <w:rPr>
            <w:rFonts w:ascii="Arial" w:hAnsi="Arial" w:cs="Arial"/>
            <w:color w:val="1155CC"/>
            <w:sz w:val="20"/>
            <w:szCs w:val="20"/>
            <w:u w:val="single"/>
            <w:lang w:val="ru-RU"/>
          </w:rPr>
          <w:t>ЭкономикаРунета.рф</w:t>
        </w:r>
      </w:hyperlink>
      <w:r w:rsidRPr="00370349">
        <w:rPr>
          <w:rFonts w:ascii="Arial" w:hAnsi="Arial" w:cs="Arial"/>
          <w:color w:val="000000"/>
          <w:sz w:val="20"/>
          <w:szCs w:val="20"/>
          <w:lang w:val="ru-RU"/>
        </w:rPr>
        <w:t>) и представили аналитику по каждому хабу. </w:t>
      </w:r>
    </w:p>
    <w:p w14:paraId="4F666607" w14:textId="77777777" w:rsidR="00370349" w:rsidRP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br/>
      </w:r>
    </w:p>
    <w:p w14:paraId="2665023F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28"/>
          <w:szCs w:val="28"/>
          <w:lang w:val="ru-RU"/>
        </w:rPr>
        <w:t>ХАБ 1 // ГОСУДАРСТВО И ОБЩЕСТВО</w:t>
      </w:r>
    </w:p>
    <w:p w14:paraId="0C13ED5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3854D9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Хаб «Государство и общество» включает в себя данные об аудитории интернета в России, ее составе, особенностях и поведении, а также аналитику влияния государства на интернет-отрасль.</w:t>
      </w:r>
    </w:p>
    <w:p w14:paraId="5BFE870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E8EE40B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Россия заняла 23 место в рейтинге Digital Society Index 2019.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При расчете общего индекса учитывались такие критерии как динамичность (влияние цифровой экономики на рост),  уровень доступа к цифровым технологиям, то есть масштаб развития, и то, как рынки укрепляют доверие к цифровой экономике. </w:t>
      </w:r>
    </w:p>
    <w:p w14:paraId="5ACF654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16DCC48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уровню доступа к цифровым технологиям и сервисам у России 14 место в рейтинге.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 скорости развития цифровой экономики Россия заняла 22 место в рейтинге, по уровню доверия к цифровым технологиям, включая сохранность персональных данных - 24 место.</w:t>
      </w:r>
    </w:p>
    <w:p w14:paraId="4C42BE6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7900E06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Уровень доступа населения к цифровым технологиям и сервисам в России относительно высок.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Россияне быстрее других меняют свои потребительские предпочтения и легче переходят к использованию цифровых технологий.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Например, 85% респондентов заявили, что они стали чаще пользоваться банковскими приложениями (в мире - 69%), 90% стали больше покупать онлайн (в мире  - 76%)</w:t>
      </w:r>
    </w:p>
    <w:p w14:paraId="2C76DF63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7649F52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Однако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при этом население мало доверяет бизнесу и государству в вопросе использования персональных данных граждан.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Только 29% россиян верят, что компании защищают конфиденциальность персональных данных, которые хранят и обрабатывают. В мире этот показатель составляет 45 и 48% соответственно. </w:t>
      </w:r>
    </w:p>
    <w:p w14:paraId="1A40FC23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A157B0B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Граждане России в целом позитивно оценивают влияние новых технологий на общество.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47% респондентов считают, что цифровизация приносит пользу всему обществу, а не только избранным. Только 22% россиян думаю, что технологии оказывают негативное влияние на их здоровье, а 18% уверены в негативном влиянии на качество жизни, в то время как в целом в мире этом убежден каждый третий.</w:t>
      </w:r>
    </w:p>
    <w:p w14:paraId="351E34E8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2E06EF0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Влияние на Хаб Государство и общество пандемии COVID-19</w:t>
      </w:r>
    </w:p>
    <w:p w14:paraId="570CD20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1E2B63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“Мы наблюдаем существенный рост трафика зафиксирован у сервисов видеоконференций, онлайн-гипермаркетов и сайтов по самообразованию. Резко выросли загрузки приложений Zoom и Skype: TOP-10 на iOS, TOP-50 на Android”, — отмечает Карен Казарян. </w:t>
      </w:r>
    </w:p>
    <w:p w14:paraId="1174CA4D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4B4001D8">
          <v:rect id="_x0000_i1028" style="width:0;height:1.5pt" o:hralign="center" o:hrstd="t" o:hr="t" fillcolor="#aaa" stroked="f"/>
        </w:pict>
      </w:r>
    </w:p>
    <w:p w14:paraId="4881A48B" w14:textId="77777777" w:rsidR="00370349" w:rsidRPr="00370349" w:rsidRDefault="00370349" w:rsidP="00370349">
      <w:pPr>
        <w:spacing w:after="320"/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28"/>
          <w:szCs w:val="28"/>
          <w:lang w:val="ru-RU"/>
        </w:rPr>
        <w:t>ХАБ 2 // МАРКЕТИНГ И РЕКЛАМА</w:t>
      </w:r>
    </w:p>
    <w:p w14:paraId="309247A8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Хаб “Маркетинг и реклама” - это анализ тенденций развития рынка интернет-рекламы и маркетинга в России, объемы основных рынков, обзор используемых технологий, инструментов и решений.</w:t>
      </w:r>
    </w:p>
    <w:p w14:paraId="76D3C5B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5557EA3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 данным РАЭК объем сегмента маркетинг и реклама в 2019 году составил 314 млрд руб (+19% относительно 2018 года), из которых: performance-реклама — 194,6 млрд руб. (+18% относительно 2018 года), медийная реклама — 31 млрд руб. (+16% относительно 2018 года), видеореклама —  19,1 млрд руб. (+55% относительно 2018 года), контент-маркетинг и маркетинг в соцсетях — 36,3 млрд руб. (+19% относительно 2018 года), web- разработка и мобильная реклама — 33 млрд руб. (+9% относительно 2018 года). </w:t>
      </w:r>
    </w:p>
    <w:p w14:paraId="2BE7F5AE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CC8CC1B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Аналитики РАЭК отметили следующие тренды в этом сегменте:</w:t>
      </w:r>
    </w:p>
    <w:p w14:paraId="3E4B14F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170ADAF" w14:textId="77777777" w:rsidR="00370349" w:rsidRPr="00370349" w:rsidRDefault="00370349" w:rsidP="00370349">
      <w:pPr>
        <w:numPr>
          <w:ilvl w:val="0"/>
          <w:numId w:val="3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Интернет-реклама обогнала ТВ </w:t>
      </w:r>
    </w:p>
    <w:p w14:paraId="3AC3FDDF" w14:textId="77777777" w:rsidR="00370349" w:rsidRPr="00370349" w:rsidRDefault="00370349" w:rsidP="00370349">
      <w:pPr>
        <w:numPr>
          <w:ilvl w:val="0"/>
          <w:numId w:val="3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Видеореклама растет быстрее остальных рынков</w:t>
      </w:r>
    </w:p>
    <w:p w14:paraId="0BEF320D" w14:textId="77777777" w:rsidR="00370349" w:rsidRPr="00370349" w:rsidRDefault="00370349" w:rsidP="00370349">
      <w:pPr>
        <w:numPr>
          <w:ilvl w:val="0"/>
          <w:numId w:val="3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Движение в сторону максимальной персонализации </w:t>
      </w:r>
    </w:p>
    <w:p w14:paraId="725FCE9F" w14:textId="77777777" w:rsidR="00370349" w:rsidRPr="00370349" w:rsidRDefault="00370349" w:rsidP="00370349">
      <w:pPr>
        <w:numPr>
          <w:ilvl w:val="0"/>
          <w:numId w:val="3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Использование офлайн-данных </w:t>
      </w:r>
    </w:p>
    <w:p w14:paraId="6086A8EA" w14:textId="77777777" w:rsidR="00370349" w:rsidRPr="00370349" w:rsidRDefault="00370349" w:rsidP="00370349">
      <w:pPr>
        <w:numPr>
          <w:ilvl w:val="0"/>
          <w:numId w:val="3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Борьба c недобросовестной рекламой </w:t>
      </w:r>
    </w:p>
    <w:p w14:paraId="290AFC4A" w14:textId="77777777" w:rsidR="00370349" w:rsidRPr="00370349" w:rsidRDefault="00370349" w:rsidP="00370349">
      <w:pPr>
        <w:numPr>
          <w:ilvl w:val="0"/>
          <w:numId w:val="3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Вопросы качества измерений</w:t>
      </w:r>
    </w:p>
    <w:p w14:paraId="257D703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8468C7A" w14:textId="77777777" w:rsidR="00370349" w:rsidRPr="00370349" w:rsidRDefault="00370349" w:rsidP="00370349">
      <w:pPr>
        <w:jc w:val="both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Интересные данные по мобильной рекламе получены в рамках совместного исследования рекламного рынка Data Insight и IAB Russia: 105 млрд руб.  - объем затрат российских рекламодателей на размещение рекламы в мобильных приложениях в 2019 году.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 сравнению с 2018 годом затраты выросли на 12–15%.</w:t>
      </w:r>
    </w:p>
    <w:p w14:paraId="2587FB64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CC3E159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По данным Data Insight, ожидается, что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 2020 году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расходы на мобильную рекламу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вырастут на 22,2% до 133,3 млрд рублей и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достигнут 50% всех бюджетов на digital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.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Мобильная реклама является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третьим среди всех остальных медиа каналом по объемам размещения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- 20% от объема всей рекламы и 46% от объема всей интерактивной рекламы. Наряду с видеорекламой,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мобильная реклама является одним из драйверов роста рынка интернет-рекламы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. </w:t>
      </w:r>
    </w:p>
    <w:p w14:paraId="31A9121D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E28A2E6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lang w:val="ru-RU"/>
        </w:rPr>
        <w:t>Влияние на Хаб Маркетинг и реклама пандемии COVID-19</w:t>
      </w:r>
    </w:p>
    <w:p w14:paraId="37FE2C85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CFEB16D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“Мы наблюдаем снижение активности рекламодателей отмечается во всех сегментах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- ТВ, радио, пресса, наружная реклама. Часть рекламных кампаний на ТВ переносится на осень либо отменяется.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Сегмент онлайн-рекламы также ощущает последствия пандемии: падение наблюдается во всех форматах.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Наиболее стабильным пока остается рынок контекстной рекламы, в то время как размещения баннеров резко снизились”,  — отмечает Карен Казарян. </w:t>
      </w:r>
    </w:p>
    <w:p w14:paraId="41E96489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Факторы, влияющие на рекламную активность:</w:t>
      </w:r>
    </w:p>
    <w:p w14:paraId="31C2AF9E" w14:textId="77777777" w:rsidR="00370349" w:rsidRPr="00370349" w:rsidRDefault="00370349" w:rsidP="00370349">
      <w:pPr>
        <w:numPr>
          <w:ilvl w:val="0"/>
          <w:numId w:val="3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отмена или перенос крупных спортивных мероприятий (Олимпиада в Токио, Чемпионат Европы по футболу, Лига Чемпионов, национальные чемпионаты в различных видах спорта)</w:t>
      </w:r>
    </w:p>
    <w:p w14:paraId="14D7FDB1" w14:textId="77777777" w:rsidR="00370349" w:rsidRPr="00370349" w:rsidRDefault="00370349" w:rsidP="00370349">
      <w:pPr>
        <w:numPr>
          <w:ilvl w:val="0"/>
          <w:numId w:val="3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ограничение спроса на определенные виды товаров и услуг (одежда и обувь, путешествия, спорт и отдых), при одновременном росте спроса на такие товары, как продукты питания, лекарства, средства связи</w:t>
      </w:r>
    </w:p>
    <w:p w14:paraId="3D2C391B" w14:textId="77777777" w:rsidR="00370349" w:rsidRPr="00370349" w:rsidRDefault="00370349" w:rsidP="00370349">
      <w:pPr>
        <w:numPr>
          <w:ilvl w:val="0"/>
          <w:numId w:val="3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приостановка или прекращение деятельности компаний МСБ</w:t>
      </w:r>
    </w:p>
    <w:p w14:paraId="6497976C" w14:textId="77777777" w:rsidR="00370349" w:rsidRPr="00370349" w:rsidRDefault="00370349" w:rsidP="00370349">
      <w:pPr>
        <w:numPr>
          <w:ilvl w:val="0"/>
          <w:numId w:val="3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отказ брендов от размещения рекламных сообщений на коронавирусном контенте</w:t>
      </w:r>
    </w:p>
    <w:p w14:paraId="2699098A" w14:textId="77777777" w:rsidR="00370349" w:rsidRPr="00370349" w:rsidRDefault="00370349" w:rsidP="00370349">
      <w:pPr>
        <w:numPr>
          <w:ilvl w:val="0"/>
          <w:numId w:val="3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падение курса рубля</w:t>
      </w:r>
    </w:p>
    <w:p w14:paraId="580FBDE9" w14:textId="77777777" w:rsidR="00370349" w:rsidRPr="00370349" w:rsidRDefault="00370349" w:rsidP="00370349">
      <w:pPr>
        <w:numPr>
          <w:ilvl w:val="0"/>
          <w:numId w:val="33"/>
        </w:numPr>
        <w:spacing w:after="32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появление большого количества дешевого инвентаря </w:t>
      </w:r>
    </w:p>
    <w:p w14:paraId="6EF5781F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719393A8">
          <v:rect id="_x0000_i1029" style="width:0;height:1.5pt" o:hralign="center" o:hrstd="t" o:hr="t" fillcolor="#aaa" stroked="f"/>
        </w:pict>
      </w:r>
    </w:p>
    <w:p w14:paraId="5A0E2D5A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28"/>
          <w:szCs w:val="28"/>
          <w:lang w:val="ru-RU"/>
        </w:rPr>
        <w:t>ХАБ 3 // ФИНАНСЫ И ТОРГОВЛЯ</w:t>
      </w:r>
    </w:p>
    <w:p w14:paraId="6CEECBB4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009BBD1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В хаб “Финансы и торговля”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входит подробный анализ сегмента электронной коммерции: его объемы (без учета трансграничной торговли), входящие в его состав рынки, динамика и основные тренды. Также в хаб включаются данные об особенностях потребительского спроса российских онлайн-покупателей, соотношении внутренней и трансграничной онлайн-торговли, основные драйверы и барьеры развития рынка электронной коммерции в России.</w:t>
      </w:r>
    </w:p>
    <w:p w14:paraId="30770B7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2003D41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По данным РАЭК объем сегменты электронной коммерции в 2019 году составил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4172,8 млрд рублей, из которых: онлайн-ритейл — 1295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26%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онлайн-трэвел — 730,3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9%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услуг в интернете — 808,7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19%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электронных платежных услуг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—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1338,8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19% относительно 2018 года). Отметим, что  2019 году была изменена методика подсчета объема сегмента, поэтому динамика относительно 2018 года не приводится. </w:t>
      </w:r>
    </w:p>
    <w:p w14:paraId="3E3AE312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425F810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Главные тренды:</w:t>
      </w:r>
    </w:p>
    <w:p w14:paraId="6FAA6570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7025B9E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покупок с мобильных устройств</w:t>
      </w:r>
    </w:p>
    <w:p w14:paraId="3081A5D3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Маркетплейсы</w:t>
      </w:r>
    </w:p>
    <w:p w14:paraId="78C35901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Омниканальный ритейл</w:t>
      </w:r>
    </w:p>
    <w:p w14:paraId="793A74E5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Быстрая / бесплатная доставка</w:t>
      </w:r>
    </w:p>
    <w:p w14:paraId="52A36702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Кроссбордер</w:t>
      </w:r>
    </w:p>
    <w:p w14:paraId="61B38E44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Доставка продуктов и еды</w:t>
      </w:r>
    </w:p>
    <w:p w14:paraId="4065BF0A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Модель D2C (direct to customer)</w:t>
      </w:r>
    </w:p>
    <w:p w14:paraId="1A5EB189" w14:textId="77777777" w:rsidR="00370349" w:rsidRPr="00370349" w:rsidRDefault="00370349" w:rsidP="00370349">
      <w:pPr>
        <w:numPr>
          <w:ilvl w:val="0"/>
          <w:numId w:val="3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BigData, AR/VR, нейросети, 3D-печать, IT-инфраструктура</w:t>
      </w:r>
    </w:p>
    <w:p w14:paraId="3DCD9283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27A78D8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Индустрия ритейла активно адаптирует новые технологии: по данным совместного исследования РАЭК и НИУ ВШЭ, реализованного при поддержке Microsoft,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42% российских ритейлеров уже сегодня используют технологии и решения на основе искусственного интеллекта, а еще 35% – планируют начать в течение 5 лет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. Таким образом, к 2024 году технологии и решения на основе искусственного интеллекта будет использовать 77% российских ритейлеров. Самым популярным решением на основе ИИ у российских ритейлеров является персонализация: 26% респондентов отметили, что персонализация используется в их компаниях. Широко используются такие решения, как виртуальные помощники и чат-боты (23% респондентов), интеллектуальные системы для принятия решений и предиктивная аналитика (20% респондентов). При этом необходимо отметить, что работа по полномасштабному внедрению искусственного интеллекта в деятельность компании полностью завершена только у единичных ритейлеров. Сегодня искусственный интеллект в российском ритейле используется фрагментарно, без системной реорганизации бизнеса. Однако в ближайшие 5 лет можно ожидать полномасштабного применения искусственного интеллекта в различных бизнес-процессах, в том числе требующих межсистемных интеграций и внешнего взаимодействия.</w:t>
      </w:r>
    </w:p>
    <w:p w14:paraId="7F7AB45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166089D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Также спикеры затронули рынок сервисов совместного потребления. </w:t>
      </w:r>
    </w:p>
    <w:p w14:paraId="626524C2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D400961" w14:textId="77777777" w:rsidR="00370349" w:rsidRPr="00370349" w:rsidRDefault="00370349" w:rsidP="00370349">
      <w:pPr>
        <w:spacing w:after="20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Так, по данным ежегодного исследования кластера РАЭК // Sharing Economy, около 769,5 млрд руб. составил объем транзакций онлайн-сервисов совместного потребления, работающих в России, по итогам 2019 г.  Рост 50% по сравнению с прошлым годом.</w:t>
      </w:r>
    </w:p>
    <w:p w14:paraId="7CB4C572" w14:textId="77777777" w:rsidR="00370349" w:rsidRPr="00370349" w:rsidRDefault="00370349" w:rsidP="00370349">
      <w:pPr>
        <w:spacing w:after="20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 словам спикеров, рынок С2С-продаж - лидер ЭСП в России в 2019 году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с объемом транзакций порядка 566 млрд руб.</w:t>
      </w:r>
    </w:p>
    <w:p w14:paraId="3E07A63E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Основные тренды:</w:t>
      </w:r>
    </w:p>
    <w:p w14:paraId="46816DDE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E60B337" w14:textId="77777777" w:rsidR="00370349" w:rsidRPr="00370349" w:rsidRDefault="00370349" w:rsidP="00370349">
      <w:pPr>
        <w:numPr>
          <w:ilvl w:val="0"/>
          <w:numId w:val="35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взросление аудитории – развитие пользовательских сообществ в возрастной группе 40+</w:t>
      </w:r>
    </w:p>
    <w:p w14:paraId="0EC82F75" w14:textId="77777777" w:rsidR="00370349" w:rsidRPr="00370349" w:rsidRDefault="00370349" w:rsidP="00370349">
      <w:pPr>
        <w:numPr>
          <w:ilvl w:val="0"/>
          <w:numId w:val="35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расширение географии – рост пользования шеринг-сервисами в регионах, в том числе за пределами региональных столиц</w:t>
      </w:r>
    </w:p>
    <w:p w14:paraId="30D15354" w14:textId="77777777" w:rsidR="00370349" w:rsidRPr="00370349" w:rsidRDefault="00370349" w:rsidP="00370349">
      <w:pPr>
        <w:numPr>
          <w:ilvl w:val="0"/>
          <w:numId w:val="35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снижение среднего чека</w:t>
      </w:r>
    </w:p>
    <w:p w14:paraId="69767D5A" w14:textId="77777777" w:rsidR="00370349" w:rsidRPr="00370349" w:rsidRDefault="00370349" w:rsidP="00370349">
      <w:pPr>
        <w:numPr>
          <w:ilvl w:val="0"/>
          <w:numId w:val="35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развитие доверия к платформе: верификация и страхование</w:t>
      </w:r>
    </w:p>
    <w:p w14:paraId="01B3DC9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C230A43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Влияние на Хаб Финансы и торговля пандемии COVID-19</w:t>
      </w:r>
    </w:p>
    <w:p w14:paraId="174D920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5E7A6F5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Самоизоляция и переход на удаленную работу стимулировали резкое увеличение количества онлайн-заказов.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Наибольший рост наблюдается в таких товарных категориях, как продукты питания, электронная и бытовая техника (в частности, ноутбуки), аксессуары для работы из дома (гарнитуры, клавиатуры и т.д.), товары для детей.  Однако в большинстве товарных категорий данный рост является кратковременным</w:t>
      </w:r>
    </w:p>
    <w:p w14:paraId="72FCB003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Меры, предпринимаемые онлайн-ритейлерами в условиях пандемии:</w:t>
      </w:r>
    </w:p>
    <w:p w14:paraId="62F946F8" w14:textId="77777777" w:rsidR="00370349" w:rsidRPr="00370349" w:rsidRDefault="00370349" w:rsidP="00370349">
      <w:pPr>
        <w:numPr>
          <w:ilvl w:val="0"/>
          <w:numId w:val="36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бесплатная доставка заказов</w:t>
      </w:r>
    </w:p>
    <w:p w14:paraId="102476E2" w14:textId="77777777" w:rsidR="00370349" w:rsidRPr="00370349" w:rsidRDefault="00370349" w:rsidP="00370349">
      <w:pPr>
        <w:numPr>
          <w:ilvl w:val="0"/>
          <w:numId w:val="36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повышение суммы минимального заказа</w:t>
      </w:r>
    </w:p>
    <w:p w14:paraId="61F166F5" w14:textId="77777777" w:rsidR="00370349" w:rsidRPr="00370349" w:rsidRDefault="00370349" w:rsidP="00370349">
      <w:pPr>
        <w:numPr>
          <w:ilvl w:val="0"/>
          <w:numId w:val="36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мотивация покупателей к безналичной и бесконтактной оплате</w:t>
      </w:r>
    </w:p>
    <w:p w14:paraId="0507C150" w14:textId="77777777" w:rsidR="00370349" w:rsidRPr="00370349" w:rsidRDefault="00370349" w:rsidP="00370349">
      <w:pPr>
        <w:numPr>
          <w:ilvl w:val="0"/>
          <w:numId w:val="36"/>
        </w:numPr>
        <w:spacing w:after="32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развитие бесконтактной курьерской доставки</w:t>
      </w:r>
    </w:p>
    <w:p w14:paraId="158FDAA7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Важным шагом для повышения безопасности граждан и поддержки людей, находящихся в режиме самоизоляции или на карантине стало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снятие ограничений на дистанционную торговлю безрецептурными лекарственными средствами. </w:t>
      </w:r>
    </w:p>
    <w:p w14:paraId="4AC4022C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 процессе рассмотрения находятся такие инициативы, как легализация дистанционной продажи алкогольной продукции, а также перенос сроков введения обязательной маркировки продукции по тем группам товаров, где она еще не запущена, и сроков введения национальной системы прослеживаемости.</w:t>
      </w:r>
    </w:p>
    <w:p w14:paraId="5C94331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45948C37">
          <v:rect id="_x0000_i1030" style="width:0;height:1.5pt" o:hralign="center" o:hrstd="t" o:hr="t" fillcolor="#aaa" stroked="f"/>
        </w:pict>
      </w:r>
    </w:p>
    <w:p w14:paraId="3C78E2C8" w14:textId="77777777" w:rsidR="00370349" w:rsidRPr="00370349" w:rsidRDefault="00370349" w:rsidP="00370349">
      <w:pPr>
        <w:spacing w:after="320"/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28"/>
          <w:szCs w:val="28"/>
          <w:lang w:val="ru-RU"/>
        </w:rPr>
        <w:t>ХАБ 4 // ИНФРАСТРУКТУРА И СВЯЗЬ</w:t>
      </w:r>
    </w:p>
    <w:p w14:paraId="04A0DBF1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A225264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Хаб “Инфраструктура и связь” включает данные об объеме и развитии инфраструктурного сегмента экономики Рунета и входящих в его состав рынков. Отдельно анализируется мобильная составляющая цифровой экономики, ее влияние на развитие отрасли и на рынок труда России. </w:t>
      </w:r>
    </w:p>
    <w:p w14:paraId="01BF95C2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DE0D54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По данным РАЭК  объем инфраструктурного сегмента в 2019 году составил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126,8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млрд руб. (+19% относительно 2018 года), из которых: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доменов — 3,5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5%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хостинга (кроме облачного) — 8,1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10%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SAAS — 15,2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19%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инфраструктуры (облачный хостинг, IaaS, PaaS и тд) — 100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21% относительно 2018 года). </w:t>
      </w:r>
    </w:p>
    <w:p w14:paraId="25628ED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10E7F42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Главные тренды:</w:t>
      </w:r>
    </w:p>
    <w:p w14:paraId="3434E6D0" w14:textId="77777777" w:rsidR="00370349" w:rsidRPr="00370349" w:rsidRDefault="00370349" w:rsidP="00370349">
      <w:pPr>
        <w:numPr>
          <w:ilvl w:val="0"/>
          <w:numId w:val="37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спроса на облачные услуги </w:t>
      </w:r>
    </w:p>
    <w:p w14:paraId="6C877940" w14:textId="77777777" w:rsidR="00370349" w:rsidRPr="00370349" w:rsidRDefault="00370349" w:rsidP="00370349">
      <w:pPr>
        <w:numPr>
          <w:ilvl w:val="0"/>
          <w:numId w:val="37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Консолидация рынка </w:t>
      </w:r>
    </w:p>
    <w:p w14:paraId="2443753A" w14:textId="77777777" w:rsidR="00370349" w:rsidRPr="00370349" w:rsidRDefault="00370349" w:rsidP="00370349">
      <w:pPr>
        <w:numPr>
          <w:ilvl w:val="0"/>
          <w:numId w:val="37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Значительный рост влияния мобильных технологий </w:t>
      </w:r>
    </w:p>
    <w:p w14:paraId="4AF4F7FA" w14:textId="77777777" w:rsidR="00370349" w:rsidRPr="00370349" w:rsidRDefault="00370349" w:rsidP="00370349">
      <w:pPr>
        <w:numPr>
          <w:ilvl w:val="0"/>
          <w:numId w:val="37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Многообразие PaaS и IaaS решений</w:t>
      </w:r>
    </w:p>
    <w:p w14:paraId="32DA1DB8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4B2E4E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Объем инфраструктурного сегмента в 2019 году, по данным РАЭК, достиг 126,8 млрд руб., увеличившись на 19% относительно 2018 года. </w:t>
      </w:r>
    </w:p>
    <w:p w14:paraId="0E042938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0ADFEEB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Среди рынков, входящих в сегмент, наибольший рост показал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инфраструктуры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, куда входят услуги по предоставлению виртуализованной инфраструктуры и вычислительных мощностей, платформы для размещения, разработки и управления приложениями, базами данных, веб-сервисами, постоянно находящимися в интернет. По итогам 2019 года объем этого рынка достиг 100 млрд руб., рост по сравнению с 2018 годом составил 21%, что совпадает с прогнозами экспертов исследования РАЭК “Экономика Рунета 2018”. </w:t>
      </w:r>
    </w:p>
    <w:p w14:paraId="3E19525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C78ACB1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Темпы роста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рынка облачных технологий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(SAAS) также совпали с прогнозными: рынок вырос на 19%, его объем на конец 2019 года составил 15,2 млрд руб.</w:t>
      </w:r>
    </w:p>
    <w:p w14:paraId="6C860160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BEFC279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хостинга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(услуги по предоставлению вычислительных мощностей для размещения и/или хранения информации на серверах, постоянно находящихся в Интернете, за исключением облачного хостинга) сохранил динамику предыдущих лет несмотря на прогнозы по снижению темпов роста. В 2019 году рынок вырос на 10% (в 2017 и 2018 г.г. рынок рос на 10% и на 10,5% соответственно), его объем увеличился до 8,1 млрд руб. Сохранению динамики по-прежнему способствуют регуляторные инициативы по локализации данных на территории России и исполнение “Пакета Яровой”.  </w:t>
      </w:r>
    </w:p>
    <w:p w14:paraId="68048CDF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19D3D0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доменов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постепенно активизируется после отмеченного в 2018 году спада. В 2019 году объем рынка составил 3,5 млрд руб., рост по сравнению с 2018 годом - 5%, в то время как по итогам 2018 года рынок вырос всего на 3,1% после существенного роста, отмеченного в 2015-2017 г.г.</w:t>
      </w:r>
    </w:p>
    <w:p w14:paraId="583AEC3D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785D0ED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Влияние на Хаб Инфраструктура и связь пандемии COVID-19</w:t>
      </w:r>
    </w:p>
    <w:p w14:paraId="13ACFC1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E50296A" w14:textId="78A9076E" w:rsidR="00370349" w:rsidRPr="00370349" w:rsidRDefault="00370349" w:rsidP="00370349">
      <w:pPr>
        <w:spacing w:after="18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В российских национальных доменах </w:t>
      </w:r>
      <w:r w:rsidR="0062408C" w:rsidRPr="0062408C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Уже сейчас понятно, что инфраструктура в период пандемии COVID-19 очень сильно трансформируется и несет колоссальные нагрузки. 
Крупнейшие операторы фиксированной связи (Ростелеком, Транстелеком, Акадо Телеком, Вымпелком) отмечают рост трафика фиксированной связи на 10-30% по сравнению с обычными рабочими днями 2020 года.
Интернет-трафик увеличивается за счет граждан, находящихся на самоизоляции, а также за счет  новых абонентов, которые переходят с мобильного интернета на проводной.
С начала 2020 года зарегистрировано 1638 доменов, в которых встречаются слова corona, covid, virus, корона, ковид, вирус. Из них в домене .RU 1310 имен, а в домене .РФ - 324 имени.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.</w:t>
      </w:r>
    </w:p>
    <w:p w14:paraId="1451BBA6" w14:textId="77777777" w:rsidR="00370349" w:rsidRPr="00370349" w:rsidRDefault="00370349" w:rsidP="00370349">
      <w:pPr>
        <w:spacing w:before="180" w:after="18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Большая часть новых доменов – это ресурсы, помогающие в борьбе с инфекцией. Среди них: официальный интернет-портал с последней информацией по ситуации с коронавирусом в России стопкоронавирус.рф, порталы мывместе2020.рф и доступвсем.рф, на которых можно узнать о бесплатных сервисах и услугах для нуждающихся, а также предложить свою помощь, портал antivirus2020.ru, где собраны государственные инициативы, кейсы компаний, полезная информация для владельцев предприятий и сотрудников.</w:t>
      </w:r>
    </w:p>
    <w:p w14:paraId="1E9897C3" w14:textId="77777777" w:rsidR="00370349" w:rsidRPr="00370349" w:rsidRDefault="00370349" w:rsidP="00370349">
      <w:pPr>
        <w:spacing w:before="180" w:after="18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Крупнейшие операторы фиксированной связи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(Ростелеком, Транстелеком, Акадо Телеком, Вымпелком)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отмечают рост трафика фиксированной связи на 10-30% по сравнению с обычными рабочими днями 2020 года.</w:t>
      </w:r>
    </w:p>
    <w:p w14:paraId="5F02E01E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Интернет-трафик увеличивается за счет граждан, находящихся на самоизоляции, а также за счет  новых абонентов, которые переходят с мобильного интернета на проводной.</w:t>
      </w:r>
    </w:p>
    <w:p w14:paraId="0C5CB54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6ED4014E">
          <v:rect id="_x0000_i1031" style="width:0;height:1.5pt" o:hralign="center" o:hrstd="t" o:hr="t" fillcolor="#aaa" stroked="f"/>
        </w:pict>
      </w:r>
    </w:p>
    <w:p w14:paraId="5BA3C248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28"/>
          <w:szCs w:val="28"/>
          <w:lang w:val="ru-RU"/>
        </w:rPr>
        <w:t>ХАБ 5 // МЕДИА И РАЗВЛЕЧЕНИЯ</w:t>
      </w:r>
    </w:p>
    <w:p w14:paraId="34611B4D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C6115F8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В составе хаба “Медиа и развлечения” анализируются объемы и тренды развития сегмента цифрового контента, модели его монетизации, особенности потребления цифрового контента в России, тенденции в использовании и развитии социальных медиа. </w:t>
      </w:r>
    </w:p>
    <w:p w14:paraId="0394790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1F3C247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По данным РАЭК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объем сегмента медиа и развлечения в 2019 году демонстрирует рост в 14% относительно 2018 года и составляет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85,7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млрд рублей, из которых: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онлайн-видео — 7,8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34%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онлайн-музыка —  4,2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20%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онлайн-игры — 69,4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12% относительно 2018 года),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электронные книги —  4,3 млрд руб. (+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16% относительно 2018 года). </w:t>
      </w:r>
    </w:p>
    <w:p w14:paraId="2F711B99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Главные тренды:</w:t>
      </w:r>
    </w:p>
    <w:p w14:paraId="213C9586" w14:textId="77777777" w:rsidR="00370349" w:rsidRPr="00370349" w:rsidRDefault="00370349" w:rsidP="00370349">
      <w:pPr>
        <w:numPr>
          <w:ilvl w:val="0"/>
          <w:numId w:val="38"/>
        </w:numPr>
        <w:spacing w:before="20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Легальный контент победил</w:t>
      </w:r>
    </w:p>
    <w:p w14:paraId="2C410076" w14:textId="77777777" w:rsidR="00370349" w:rsidRPr="00370349" w:rsidRDefault="00370349" w:rsidP="00370349">
      <w:pPr>
        <w:numPr>
          <w:ilvl w:val="0"/>
          <w:numId w:val="38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Платная модель потребления онлайн-видео доминирует над рекламной</w:t>
      </w:r>
    </w:p>
    <w:p w14:paraId="54BB6CFB" w14:textId="77777777" w:rsidR="00370349" w:rsidRPr="00370349" w:rsidRDefault="00370349" w:rsidP="00370349">
      <w:pPr>
        <w:numPr>
          <w:ilvl w:val="0"/>
          <w:numId w:val="38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Потоковые музыкальные сервисы - основной способ потребления музыки</w:t>
      </w:r>
    </w:p>
    <w:p w14:paraId="3550C947" w14:textId="77777777" w:rsidR="00370349" w:rsidRPr="00370349" w:rsidRDefault="00370349" w:rsidP="00370349">
      <w:pPr>
        <w:numPr>
          <w:ilvl w:val="0"/>
          <w:numId w:val="38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Стримеры и видеоблогеры</w:t>
      </w:r>
    </w:p>
    <w:p w14:paraId="77467870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587641C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Рост объема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рынка онлайн-видео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превысил прогнозируемые 30%. В 2019 году рынок вырос на 34%, его объем составил 7,8 млрд руб. Доля платной модели в структуре выручки продолжает увеличиваться, а среди моделей платного распространения контента лидерство принадлежит подписной модели (SVoD). Таким образом, можно утверждать, что в России сформировалась устойчивая аудитория легальных онлайн-видеосервисов, которая пользуется ими регулярно и готова платить за те преимущества, которые они при этом получают. </w:t>
      </w:r>
    </w:p>
    <w:p w14:paraId="1618771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39D7CEE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Рынок онлайн-музыки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, вопреки прогнозируемому в 2018 году спаду динамики роста до 8%, по итогам 2019 вырос на 20% и достиг объема 4,2 млрд руб. Основным драйвером роста рынка стало потоковое прослушивание музыки. В свою очередь, благоприятными факторами для развития стриминга являются рост проникновения мобильных устройств, высокое качество мобильной связи, возможность получить доступ к большему объему контента, а также формирование у пользователей привычки платить за контент.  </w:t>
      </w:r>
    </w:p>
    <w:p w14:paraId="0BCE8C8F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DF2F21D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Мобильные игры являются основным драйвером роста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рынка онлайн-игр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наряду с повышением качества и скорости интернет-доступа, что позволяет без задержек играть в многопользовательские игры и игры с высоким требованием к качеству изображения. По итогам 2019 года рынок вырос на 12% при прогнозируемом росте 10%. Объем рынка онлайн-игр по итогам года составил 69,4 млрд руб. Рынок по-прежнему остается самым большим по объему в составе сегмента цифрового контента.  </w:t>
      </w:r>
    </w:p>
    <w:p w14:paraId="3C3F03C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8818AF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Рост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рынка электронных книг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 2019 году совпал с прогнозируемыми 16%. Рынок достиг объема 4,3 млрд руб. При этом очевиден тренд на снижение динамики роста, который отмечается уже на протяжении 4 лет (2016-2019) после пикового скачка на 77% в 2015 году. Сегодня рынок растет за счет увеличения использования мобильных устройств, а также за счет повышения вовлеченности аудитории в использование форматов.</w:t>
      </w:r>
    </w:p>
    <w:p w14:paraId="7CBD081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AED06F7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Влияние на Хаб Медиа и развлечения пандемии COVID-19</w:t>
      </w:r>
    </w:p>
    <w:p w14:paraId="7231280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2DA00A4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211% увеличились продажи подписок в онлайн-кинотеатрах в первом квартале 2020 года.</w:t>
      </w:r>
    </w:p>
    <w:p w14:paraId="60577AE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712DC44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Зафиксирован резкий рост аудитории онлайн-кинотеатров на неделе с 16 по 22 марта 2020 года:</w:t>
      </w:r>
    </w:p>
    <w:p w14:paraId="4998E934" w14:textId="77777777" w:rsidR="00370349" w:rsidRPr="00370349" w:rsidRDefault="00370349" w:rsidP="00370349">
      <w:pPr>
        <w:numPr>
          <w:ilvl w:val="0"/>
          <w:numId w:val="39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30% увеличилась посещаемость Okko, количество просмотров увеличилось на 23%</w:t>
      </w:r>
    </w:p>
    <w:p w14:paraId="0A375B31" w14:textId="77777777" w:rsidR="00370349" w:rsidRPr="00370349" w:rsidRDefault="00370349" w:rsidP="00370349">
      <w:pPr>
        <w:numPr>
          <w:ilvl w:val="0"/>
          <w:numId w:val="39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30% выросла посещаемость Amediateka</w:t>
      </w:r>
    </w:p>
    <w:p w14:paraId="08B21E7A" w14:textId="77777777" w:rsidR="00370349" w:rsidRPr="00370349" w:rsidRDefault="00370349" w:rsidP="00370349">
      <w:pPr>
        <w:numPr>
          <w:ilvl w:val="0"/>
          <w:numId w:val="39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более чем на 50% увеличилась дневная аудитория “Кинопоиск HD”</w:t>
      </w:r>
    </w:p>
    <w:p w14:paraId="3447E039" w14:textId="77777777" w:rsidR="00370349" w:rsidRPr="00370349" w:rsidRDefault="00370349" w:rsidP="00370349">
      <w:pPr>
        <w:numPr>
          <w:ilvl w:val="0"/>
          <w:numId w:val="39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27% выросла длительность пользования сервисом Megogo Россия</w:t>
      </w:r>
    </w:p>
    <w:p w14:paraId="4471C37F" w14:textId="77777777" w:rsidR="00370349" w:rsidRPr="00370349" w:rsidRDefault="00370349" w:rsidP="00370349">
      <w:pPr>
        <w:numPr>
          <w:ilvl w:val="0"/>
          <w:numId w:val="39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40% вырос трафик more.tv</w:t>
      </w:r>
    </w:p>
    <w:p w14:paraId="5B65C25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остальные сервисы (ivi, Wink, МТС ТВ и др.) также отмечают рост показателей.</w:t>
      </w:r>
    </w:p>
    <w:p w14:paraId="69DD7053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F2B0F7E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Рост числа новых пользователей отмечают книжные онлайн-сервисы: </w:t>
      </w:r>
    </w:p>
    <w:p w14:paraId="61FE51D4" w14:textId="77777777" w:rsidR="00370349" w:rsidRPr="00370349" w:rsidRDefault="00370349" w:rsidP="00370349">
      <w:pPr>
        <w:numPr>
          <w:ilvl w:val="0"/>
          <w:numId w:val="40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в 3,5-4 раза больше новых подписчиков зафиксировал Bookmate</w:t>
      </w:r>
    </w:p>
    <w:p w14:paraId="749611FF" w14:textId="77777777" w:rsidR="00370349" w:rsidRPr="00370349" w:rsidRDefault="00370349" w:rsidP="00370349">
      <w:pPr>
        <w:numPr>
          <w:ilvl w:val="0"/>
          <w:numId w:val="40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7% выросла посещаемость ЛитРес</w:t>
      </w:r>
    </w:p>
    <w:p w14:paraId="3C3D57A0" w14:textId="77777777" w:rsidR="00370349" w:rsidRPr="00370349" w:rsidRDefault="00370349" w:rsidP="00370349">
      <w:pPr>
        <w:numPr>
          <w:ilvl w:val="0"/>
          <w:numId w:val="40"/>
        </w:numPr>
        <w:textAlignment w:val="baseline"/>
        <w:rPr>
          <w:rFonts w:ascii="Arial" w:hAnsi="Arial" w:cs="Arial"/>
          <w:color w:val="595959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15% увеличилось число активных пользователей MyBook</w:t>
      </w:r>
    </w:p>
    <w:p w14:paraId="185775D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E513F80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Многократное увеличение числа игроков и выручки отмечают российские сервисы облачного гейминга (Playkey, GFN.ru, Loudplay). Одновременно вырос игровой интернет-трафик: на 30% в сети Ростелеком, на 40%  - в NetByNet, на 100% - в сети МТС.</w:t>
      </w:r>
    </w:p>
    <w:p w14:paraId="3DFE15C0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795312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5642F9AE">
          <v:rect id="_x0000_i1032" style="width:0;height:1.5pt" o:hralign="center" o:hrstd="t" o:hr="t" fillcolor="#aaa" stroked="f"/>
        </w:pict>
      </w:r>
    </w:p>
    <w:p w14:paraId="118B8D2C" w14:textId="77777777" w:rsidR="00370349" w:rsidRPr="00370349" w:rsidRDefault="00370349" w:rsidP="00370349">
      <w:pPr>
        <w:spacing w:after="320"/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28"/>
          <w:szCs w:val="28"/>
          <w:lang w:val="ru-RU"/>
        </w:rPr>
        <w:t>Хаб 6 // КИБЕРБЕЗОПАСНОСТЬ</w:t>
      </w:r>
    </w:p>
    <w:p w14:paraId="31B388F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Хаб «Кибербезопасность» - это информация о числе и особенностях кибератак в России, анализ их основных целей, мотивов и направлений. Также в составе хаба анализируется состояние информационной безопасности в России и ключевые направления ее развития.</w:t>
      </w:r>
    </w:p>
    <w:p w14:paraId="4F99ECC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F1D7CF6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По данным Positive Technologies,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 бюджеты на кибербезопасность в 2019 году в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среднем на 20%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увеличились,однако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реальные расходы не превышают показатели 2018 года.</w:t>
      </w:r>
    </w:p>
    <w:p w14:paraId="094FCE13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Основная причина - сложность и длительность конкурсных процедур</w:t>
      </w:r>
    </w:p>
    <w:p w14:paraId="55A1672C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Тренды:</w:t>
      </w:r>
    </w:p>
    <w:p w14:paraId="2BFFECA3" w14:textId="77777777" w:rsidR="00370349" w:rsidRPr="00370349" w:rsidRDefault="00370349" w:rsidP="00370349">
      <w:pPr>
        <w:numPr>
          <w:ilvl w:val="0"/>
          <w:numId w:val="41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изменение парадигмы: задача системы безопасности - не предотвратить атаку, а максимально быстро ее обнаружить </w:t>
      </w:r>
    </w:p>
    <w:p w14:paraId="1425E10A" w14:textId="77777777" w:rsidR="00370349" w:rsidRPr="00370349" w:rsidRDefault="00370349" w:rsidP="00370349">
      <w:pPr>
        <w:numPr>
          <w:ilvl w:val="0"/>
          <w:numId w:val="41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рост востребованности интеллектуальных систем защиты</w:t>
      </w:r>
    </w:p>
    <w:p w14:paraId="0C36FC7A" w14:textId="77777777" w:rsidR="00370349" w:rsidRPr="00370349" w:rsidRDefault="00370349" w:rsidP="00370349">
      <w:pPr>
        <w:numPr>
          <w:ilvl w:val="0"/>
          <w:numId w:val="41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влияние на рынок регуляторных инициатив (требования, стандарты и нормативы Центробанка, ФСБ, ФСТЭК, “суверенный рунет”)</w:t>
      </w:r>
    </w:p>
    <w:p w14:paraId="34807E82" w14:textId="77777777" w:rsidR="00370349" w:rsidRPr="00370349" w:rsidRDefault="00370349" w:rsidP="00370349">
      <w:pPr>
        <w:numPr>
          <w:ilvl w:val="0"/>
          <w:numId w:val="41"/>
        </w:numPr>
        <w:spacing w:after="32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продолжение снижения “порога входа” на рынок киберпреступности</w:t>
      </w:r>
    </w:p>
    <w:p w14:paraId="4081FED1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Более 1,5 тыс кибератак зафиксировано в 2019 году, что на 19% больше, чем в 2018. </w:t>
      </w:r>
    </w:p>
    <w:p w14:paraId="56197D9A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AF46971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В 81% кибератак жертвами стали юридические лица.</w:t>
      </w:r>
    </w:p>
    <w:p w14:paraId="7D7DEE7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333147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Основные цели среди юридических лиц:</w:t>
      </w:r>
    </w:p>
    <w:p w14:paraId="39A4F82A" w14:textId="77777777" w:rsidR="00370349" w:rsidRPr="008E15A5" w:rsidRDefault="00370349" w:rsidP="00370349">
      <w:pPr>
        <w:rPr>
          <w:rFonts w:ascii="Times" w:eastAsia="Times New Roman" w:hAnsi="Times" w:cs="Times New Roman"/>
          <w:sz w:val="20"/>
          <w:szCs w:val="20"/>
        </w:rPr>
      </w:pPr>
    </w:p>
    <w:p w14:paraId="08D1426C" w14:textId="77777777" w:rsidR="00370349" w:rsidRPr="00370349" w:rsidRDefault="00370349" w:rsidP="00370349">
      <w:pPr>
        <w:numPr>
          <w:ilvl w:val="0"/>
          <w:numId w:val="4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гос. учреждения</w:t>
      </w:r>
    </w:p>
    <w:p w14:paraId="5EEDD092" w14:textId="77777777" w:rsidR="00370349" w:rsidRPr="00370349" w:rsidRDefault="00370349" w:rsidP="00370349">
      <w:pPr>
        <w:numPr>
          <w:ilvl w:val="0"/>
          <w:numId w:val="4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промышленные компании</w:t>
      </w:r>
    </w:p>
    <w:p w14:paraId="646758BD" w14:textId="77777777" w:rsidR="00370349" w:rsidRPr="00370349" w:rsidRDefault="00370349" w:rsidP="00370349">
      <w:pPr>
        <w:numPr>
          <w:ilvl w:val="0"/>
          <w:numId w:val="42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финансовый сектор</w:t>
      </w:r>
    </w:p>
    <w:p w14:paraId="6BC4337C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0F7FA4E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Данные - основная цель киберпреступников: 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 57% атак в 2019 году имели целью хищение данных, в то время как в 2018 году аналогичный показатель составлял лишь 30%</w:t>
      </w:r>
    </w:p>
    <w:p w14:paraId="244A6FA9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6AA5A65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В атаках на юридические лица:</w:t>
      </w:r>
    </w:p>
    <w:p w14:paraId="605AB0C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27% - персональные данные</w:t>
      </w:r>
    </w:p>
    <w:p w14:paraId="123CA534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22% - учетные данные</w:t>
      </w:r>
    </w:p>
    <w:p w14:paraId="3B9A6660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17% - данные платежных карт</w:t>
      </w:r>
    </w:p>
    <w:p w14:paraId="2D564A5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26EC0CC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В атаках на частных лиц:</w:t>
      </w:r>
    </w:p>
    <w:p w14:paraId="4DE7401B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40% - учетные данные</w:t>
      </w:r>
    </w:p>
    <w:p w14:paraId="3B931829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27% - данные платежных карт</w:t>
      </w:r>
    </w:p>
    <w:p w14:paraId="1512BA42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14% - личная переписка</w:t>
      </w:r>
    </w:p>
    <w:p w14:paraId="0A8035E5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73A04357" w14:textId="77777777" w:rsidR="00370349" w:rsidRPr="00370349" w:rsidRDefault="00370349" w:rsidP="00370349">
      <w:pPr>
        <w:spacing w:after="36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Наиболее распространенные методы атак - заражение вредоносным ПО в сочетании с методами социальной инженерии</w:t>
      </w:r>
      <w:r w:rsidRPr="00370349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. </w:t>
      </w:r>
    </w:p>
    <w:p w14:paraId="664466CD" w14:textId="77777777" w:rsidR="00370349" w:rsidRPr="00370349" w:rsidRDefault="00370349" w:rsidP="00370349">
      <w:pPr>
        <w:spacing w:after="36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  <w:t>Спикеры отдельно отметили регулирование в области кибербезопасности. “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В 2019 году произошли изменения  в законодательстве в области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защиты объектов критической информационной инфраструктуры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(КИИ), а также в нормативных документах Центробанка и ФСБ. Самое важное в КИИ — новые методические документы, которые определяют порядок взаимодействия субъектов КИИ с НКЦКИ. Появилось понятие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средств ГосСОПКА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, сформулированное в приказах ФСБ № 196, 281, 282. В них описаны инструменты, которые должен использовать центр ГосСОПКА. Опубликованы конкретные требования к субъектам ГосСОПКА”, — отметил Карен Казарян. </w:t>
      </w:r>
    </w:p>
    <w:p w14:paraId="6928AC99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Влияние на Хаб Кибербезопасность пандемии COVID-19</w:t>
      </w:r>
    </w:p>
    <w:p w14:paraId="5872598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35E151C2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Резко увеличилось число спам-сообщений и мошеннических рассылок. Тема коронавируса используется мошенниками в качестве приманки.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Основные цели - обогащение (призывы перевести деньги на борьбу с заболеванием) и кража персональных данных (ссылки в письме часто ведут на фишинговые сайты). </w:t>
      </w:r>
    </w:p>
    <w:p w14:paraId="200A3E6B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Прогнозируется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 xml:space="preserve"> рост числа кибератак на компьютеры, оборудование и незащищенные домашние сети сотрудников компаний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, которые из-за коронавируса перешли на удаленный режим работы. В группе риска — персонал финансовых учреждений, телеком-операторов и IT-компаний.</w:t>
      </w:r>
    </w:p>
    <w:p w14:paraId="44095887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Эксперты Group-ID выделяют следующие актуальные киберугрозы в период пандемии:</w:t>
      </w:r>
    </w:p>
    <w:p w14:paraId="3595FBB9" w14:textId="77777777" w:rsidR="00370349" w:rsidRPr="00370349" w:rsidRDefault="00370349" w:rsidP="00370349">
      <w:pPr>
        <w:numPr>
          <w:ilvl w:val="0"/>
          <w:numId w:val="4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Увеличение числа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мошеннических бесплатных сервисов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: платформ для проведения видеоконференций, онлайн-обучения, подписок на онлайн-кинотеатры, фейковых мобильных приложений для доставки еды и т.д.</w:t>
      </w:r>
    </w:p>
    <w:p w14:paraId="55E6C963" w14:textId="77777777" w:rsidR="00370349" w:rsidRPr="00370349" w:rsidRDefault="00370349" w:rsidP="00370349">
      <w:pPr>
        <w:numPr>
          <w:ilvl w:val="0"/>
          <w:numId w:val="4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Повышение риска проведения атак с целью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шпионажа.</w:t>
      </w:r>
    </w:p>
    <w:p w14:paraId="11C8CB5C" w14:textId="77777777" w:rsidR="00370349" w:rsidRPr="00370349" w:rsidRDefault="00370349" w:rsidP="00370349">
      <w:pPr>
        <w:numPr>
          <w:ilvl w:val="0"/>
          <w:numId w:val="4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Рост количества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целевых атак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на сотрудников из финансовой отрасли.</w:t>
      </w:r>
    </w:p>
    <w:p w14:paraId="5F2E4D94" w14:textId="77777777" w:rsidR="00370349" w:rsidRPr="00370349" w:rsidRDefault="00370349" w:rsidP="00370349">
      <w:pPr>
        <w:numPr>
          <w:ilvl w:val="0"/>
          <w:numId w:val="4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Увеличение мошеннической активности по отношению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к людям пожилого возраста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: доставка товаров на дом, предложения лекарств и тестов на COVID-19 и другое.</w:t>
      </w:r>
    </w:p>
    <w:p w14:paraId="0E6319B5" w14:textId="77777777" w:rsidR="00370349" w:rsidRPr="00370349" w:rsidRDefault="00370349" w:rsidP="00370349">
      <w:pPr>
        <w:numPr>
          <w:ilvl w:val="0"/>
          <w:numId w:val="43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Рост числа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инсайдерских атак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с использованием тех категорий сотрудников, которым понижают оклад при переходе на удаленный режим работы.</w:t>
      </w:r>
    </w:p>
    <w:p w14:paraId="0ADE00A9" w14:textId="77777777" w:rsidR="00370349" w:rsidRPr="00370349" w:rsidRDefault="00370349" w:rsidP="00370349">
      <w:pPr>
        <w:numPr>
          <w:ilvl w:val="0"/>
          <w:numId w:val="43"/>
        </w:numPr>
        <w:spacing w:after="24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Усиление мошеннической активности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val="ru-RU"/>
        </w:rPr>
        <w:t>в туристической индустрии</w:t>
      </w:r>
      <w:r w:rsidRPr="00370349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(центры возврата денежных средств авиалиний, отелей и т.д).</w:t>
      </w:r>
    </w:p>
    <w:p w14:paraId="01CC06F3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  <w:r w:rsidRPr="00370349">
        <w:rPr>
          <w:rFonts w:ascii="Times" w:eastAsia="Times New Roman" w:hAnsi="Times" w:cs="Times New Roman"/>
          <w:sz w:val="20"/>
          <w:szCs w:val="20"/>
          <w:lang w:val="ru-RU"/>
        </w:rPr>
        <w:pict w14:anchorId="62717B39">
          <v:rect id="_x0000_i1033" style="width:0;height:1.5pt" o:hralign="center" o:hrstd="t" o:hr="t" fillcolor="#aaa" stroked="f"/>
        </w:pict>
      </w:r>
    </w:p>
    <w:p w14:paraId="0B334A8F" w14:textId="77777777" w:rsidR="00370349" w:rsidRPr="00370349" w:rsidRDefault="00370349" w:rsidP="00370349">
      <w:pPr>
        <w:spacing w:after="320"/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1155CC"/>
          <w:sz w:val="28"/>
          <w:szCs w:val="28"/>
          <w:lang w:val="ru-RU"/>
        </w:rPr>
        <w:t>ХАБ 7//ОБРАЗОВАНИЕ И КАДРЫ</w:t>
      </w:r>
    </w:p>
    <w:p w14:paraId="49BFFEDB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5A0FD26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i/>
          <w:iCs/>
          <w:color w:val="000000"/>
          <w:sz w:val="20"/>
          <w:szCs w:val="20"/>
          <w:lang w:val="ru-RU"/>
        </w:rPr>
        <w:t>В хаб «Образование и кадры» входит информация о числе занятых в российской интернет-экономике, подготовке кадров для ИТ-отрасли, данные о цифровой грамотности граждан России. </w:t>
      </w:r>
    </w:p>
    <w:p w14:paraId="6C1C9768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1FE9739C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 данным совместного исследования РАЭК и НИУ ВШЭ, реализованного при поддержке Google, 470 тыс. человек составляет сегодня общее число рабочих мест в России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,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связанных с сектором разработки мобильных технологий. 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 числу рабочих мест Россия занимает 3 место в мире, уступая только США (1729 тыс. человек) и Японии (579 тыс. человек).</w:t>
      </w:r>
    </w:p>
    <w:p w14:paraId="5A04E0D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83288A7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Около 1,1 млн человек составит число рабочих мест, связанных с разработкой мобильных технологий к 2022 году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в связи с предполагаемым расширением спроса на мобильные решения со стороны бизнеса и населения. Среднегодовые темпы роста оцениваются в 24%.</w:t>
      </w:r>
    </w:p>
    <w:p w14:paraId="15B11B67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467502C1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Несмотря на опасения, связанные с ожиданиями масштабного сокращения рабочих мест вследствие распространения цифровых технологий, анализ реальной практики использования мобильных технологий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не подтверждает таких опасений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. Сокращение рабочих мест под влиянием мобильных технологий будет происходить, однако при этом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будут возникать новые рабочие места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: прежде всего это ИТ-специалисты - от разработчиков мобильных приложений до CDO.</w:t>
      </w:r>
    </w:p>
    <w:p w14:paraId="11F772C5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5CFA9C13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Мобильные технологии вызвали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существенный рост занятости в ИТ-секторе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. Наибольшие изменения в численности произошли среди таких сотрудников, как разработчики и привлекаемые на удаленную работу временные сотрудники. При этом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мобильные технологии создают окно возможностей для возникновения принципиально новых видов бизнеса и компаний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, обслуживающих потребности, которых раньше не существовало. По некоторым из этих направлений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 России новые бизнесы уже не только возникли, но и превратились в мировых лидеров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: Playrix и MyTona - рынок мобильных игр; Hudway и WayRay - навигация и проекционные дисплеи для автомобилей; Яндекс.Такси и такси «Максим» - рынок легковых пассажирских перевозок.</w:t>
      </w:r>
    </w:p>
    <w:p w14:paraId="15425AB3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D9E37AE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18% ИТ-компаний утверждают, что их возникновение напрямую связано с мобильными технологиями, из них почти половина специализируется на мобильных приложениях. Для 32% ИТ-компаний мобильные технологии стали новым приоритетом в развитии компании. </w:t>
      </w:r>
    </w:p>
    <w:p w14:paraId="29CADFF6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66FE9A5C" w14:textId="77777777" w:rsidR="00370349" w:rsidRPr="00370349" w:rsidRDefault="00370349" w:rsidP="00370349">
      <w:pPr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Мобильные технологии оказывают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позитивное влияние на традиционные отрасли экономики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>: растет удовлетворенность сотрудников выполняемой работой; улучшаются коммуникации внутри компании, а также с существующими и потенциальными клиентами; увеличивается производительность труда; происходит обновление персонала, связанное с привлечением специалистов с новыми компетенциями взамен уходящих сотрудников.</w:t>
      </w:r>
    </w:p>
    <w:p w14:paraId="5074ABE3" w14:textId="77777777" w:rsidR="00370349" w:rsidRPr="00370349" w:rsidRDefault="00370349" w:rsidP="00370349">
      <w:pPr>
        <w:spacing w:after="240"/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26F315F5" w14:textId="77777777" w:rsidR="00370349" w:rsidRPr="00370349" w:rsidRDefault="00370349" w:rsidP="00370349">
      <w:pPr>
        <w:jc w:val="center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Влияние на Хаб Образование и кадры пандемии COVID-19</w:t>
      </w:r>
    </w:p>
    <w:p w14:paraId="569E2075" w14:textId="77777777" w:rsidR="00370349" w:rsidRPr="00370349" w:rsidRDefault="00370349" w:rsidP="00370349">
      <w:pPr>
        <w:rPr>
          <w:rFonts w:ascii="Times" w:eastAsia="Times New Roman" w:hAnsi="Times" w:cs="Times New Roman"/>
          <w:sz w:val="20"/>
          <w:szCs w:val="20"/>
          <w:lang w:val="ru-RU"/>
        </w:rPr>
      </w:pPr>
    </w:p>
    <w:p w14:paraId="0B501B26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Порядка 80% ВУЗов России перевели обучение в дистанционный формат.</w:t>
      </w:r>
      <w:r w:rsidRPr="00370349">
        <w:rPr>
          <w:rFonts w:ascii="Arial" w:hAnsi="Arial" w:cs="Arial"/>
          <w:color w:val="000000"/>
          <w:sz w:val="20"/>
          <w:szCs w:val="20"/>
          <w:lang w:val="ru-RU"/>
        </w:rPr>
        <w:t xml:space="preserve"> Среди ВУЗов, подведомственных Минобрнауки, 100% перешли на дистанционный формат работы со студентами.</w:t>
      </w:r>
    </w:p>
    <w:p w14:paraId="1B2E30D6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 дистанционное обучение перешли крупнейшие учебные заведения - МГУ им. Ломоносова, МГТУ им. Баумана,  ВШЭ, МГИМО, РЭУ им. Плеханова, СПбГУ, ИТМО, Уральский федеральный университет, Новосибирский государственный университет, Дальневосточный федеральный университет и др.</w:t>
      </w:r>
    </w:p>
    <w:p w14:paraId="561445C7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После окончания каникул на дистанционное обучение также перешли общеобразовательные школы</w:t>
      </w:r>
    </w:p>
    <w:p w14:paraId="62C5BA6F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Наиболее распространенные барьеры для перехода на дистанционное обучение:</w:t>
      </w:r>
    </w:p>
    <w:p w14:paraId="568E17AE" w14:textId="77777777" w:rsidR="00370349" w:rsidRPr="00370349" w:rsidRDefault="00370349" w:rsidP="00370349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недостаточно развитая информационная инфраструктура</w:t>
      </w:r>
    </w:p>
    <w:p w14:paraId="242F4282" w14:textId="77777777" w:rsidR="00370349" w:rsidRPr="00370349" w:rsidRDefault="00370349" w:rsidP="00370349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отсутствие необходимого оборудования</w:t>
      </w:r>
    </w:p>
    <w:p w14:paraId="441735F7" w14:textId="77777777" w:rsidR="00370349" w:rsidRPr="00370349" w:rsidRDefault="00370349" w:rsidP="00370349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недостаточный объем каналов связи</w:t>
      </w:r>
    </w:p>
    <w:p w14:paraId="497E1C2C" w14:textId="77777777" w:rsidR="00370349" w:rsidRPr="00370349" w:rsidRDefault="00370349" w:rsidP="00370349">
      <w:pPr>
        <w:numPr>
          <w:ilvl w:val="0"/>
          <w:numId w:val="44"/>
        </w:numPr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неготовность персонала и учеников/студентов</w:t>
      </w:r>
    </w:p>
    <w:p w14:paraId="060B9CDA" w14:textId="77777777" w:rsidR="00370349" w:rsidRPr="00370349" w:rsidRDefault="00370349" w:rsidP="00370349">
      <w:pPr>
        <w:numPr>
          <w:ilvl w:val="0"/>
          <w:numId w:val="44"/>
        </w:numPr>
        <w:spacing w:after="320"/>
        <w:textAlignment w:val="baseline"/>
        <w:rPr>
          <w:rFonts w:ascii="Arial" w:hAnsi="Arial" w:cs="Arial"/>
          <w:color w:val="000000"/>
          <w:sz w:val="20"/>
          <w:szCs w:val="20"/>
          <w:lang w:val="ru-RU"/>
        </w:rPr>
      </w:pPr>
      <w:r w:rsidRPr="00370349">
        <w:rPr>
          <w:rFonts w:ascii="Arial" w:hAnsi="Arial" w:cs="Arial"/>
          <w:color w:val="000000"/>
          <w:sz w:val="20"/>
          <w:szCs w:val="20"/>
          <w:lang w:val="ru-RU"/>
        </w:rPr>
        <w:t>отсутствие понимания принципов организации дистанционного образования / механический перенос активности в онлайн</w:t>
      </w:r>
    </w:p>
    <w:p w14:paraId="068D1B02" w14:textId="77777777" w:rsidR="00370349" w:rsidRPr="00370349" w:rsidRDefault="00370349" w:rsidP="00370349">
      <w:pPr>
        <w:spacing w:after="320"/>
        <w:rPr>
          <w:rFonts w:ascii="Times" w:hAnsi="Times" w:cs="Times New Roman"/>
          <w:sz w:val="20"/>
          <w:szCs w:val="20"/>
          <w:lang w:val="ru-RU"/>
        </w:rPr>
      </w:pP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Ознакомиться с презентацией: </w:t>
      </w:r>
      <w:hyperlink r:id="rId18" w:history="1">
        <w:r w:rsidRPr="00370349">
          <w:rPr>
            <w:rFonts w:ascii="Arial" w:hAnsi="Arial" w:cs="Arial"/>
            <w:b/>
            <w:bCs/>
            <w:color w:val="1155CC"/>
            <w:sz w:val="20"/>
            <w:szCs w:val="20"/>
            <w:u w:val="single"/>
            <w:lang w:val="ru-RU"/>
          </w:rPr>
          <w:t>https://cloud.mail.ru/public/28s8/3sxyoczt3</w:t>
        </w:r>
      </w:hyperlink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br/>
        <w:t xml:space="preserve">Главные выводы: </w:t>
      </w:r>
      <w:hyperlink r:id="rId19" w:history="1">
        <w:r w:rsidRPr="00370349">
          <w:rPr>
            <w:rFonts w:ascii="Arial" w:hAnsi="Arial" w:cs="Arial"/>
            <w:b/>
            <w:bCs/>
            <w:color w:val="1155CC"/>
            <w:sz w:val="20"/>
            <w:szCs w:val="20"/>
            <w:u w:val="single"/>
            <w:lang w:val="ru-RU"/>
          </w:rPr>
          <w:t>https://cloud.mail.ru/public/56CD/S41XmCHWo</w:t>
        </w:r>
      </w:hyperlink>
      <w:r w:rsidRPr="00370349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 </w:t>
      </w:r>
    </w:p>
    <w:p w14:paraId="55BD1616" w14:textId="77777777" w:rsidR="009D0079" w:rsidRDefault="009D0079">
      <w:bookmarkStart w:id="0" w:name="_GoBack"/>
      <w:bookmarkEnd w:id="0"/>
    </w:p>
    <w:sectPr w:rsidR="009D0079" w:rsidSect="00F50A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43"/>
    <w:multiLevelType w:val="multilevel"/>
    <w:tmpl w:val="77EE6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4421A6"/>
    <w:multiLevelType w:val="multilevel"/>
    <w:tmpl w:val="33C6A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B0767"/>
    <w:multiLevelType w:val="multilevel"/>
    <w:tmpl w:val="64B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8C02BF"/>
    <w:multiLevelType w:val="multilevel"/>
    <w:tmpl w:val="F12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202F35"/>
    <w:multiLevelType w:val="multilevel"/>
    <w:tmpl w:val="7538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946BAC"/>
    <w:multiLevelType w:val="hybridMultilevel"/>
    <w:tmpl w:val="E7A44602"/>
    <w:lvl w:ilvl="0" w:tplc="34147078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DFA4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6883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F8F2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C1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AE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66F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9E21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A8F1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CB0CFA"/>
    <w:multiLevelType w:val="multilevel"/>
    <w:tmpl w:val="ED28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042587A"/>
    <w:multiLevelType w:val="multilevel"/>
    <w:tmpl w:val="056A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6B6172"/>
    <w:multiLevelType w:val="multilevel"/>
    <w:tmpl w:val="1D06B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FA3AE8"/>
    <w:multiLevelType w:val="multilevel"/>
    <w:tmpl w:val="2C90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402646"/>
    <w:multiLevelType w:val="multilevel"/>
    <w:tmpl w:val="1536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9C7023"/>
    <w:multiLevelType w:val="multilevel"/>
    <w:tmpl w:val="952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4365EC"/>
    <w:multiLevelType w:val="multilevel"/>
    <w:tmpl w:val="D63C6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37FF"/>
    <w:multiLevelType w:val="multilevel"/>
    <w:tmpl w:val="DC2E7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65EBE"/>
    <w:multiLevelType w:val="multilevel"/>
    <w:tmpl w:val="C500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481251"/>
    <w:multiLevelType w:val="multilevel"/>
    <w:tmpl w:val="E4C0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654693"/>
    <w:multiLevelType w:val="multilevel"/>
    <w:tmpl w:val="870A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104704"/>
    <w:multiLevelType w:val="multilevel"/>
    <w:tmpl w:val="43AEC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72D6E29"/>
    <w:multiLevelType w:val="multilevel"/>
    <w:tmpl w:val="EEAE1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98C6AA2"/>
    <w:multiLevelType w:val="hybridMultilevel"/>
    <w:tmpl w:val="4BDA56B8"/>
    <w:lvl w:ilvl="0" w:tplc="362EFD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0F2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80A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8A3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D41A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3ABB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C4EA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08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724B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8F0C64"/>
    <w:multiLevelType w:val="multilevel"/>
    <w:tmpl w:val="3634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0845B61"/>
    <w:multiLevelType w:val="multilevel"/>
    <w:tmpl w:val="DBD4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4827863"/>
    <w:multiLevelType w:val="multilevel"/>
    <w:tmpl w:val="6A2C9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301B3F"/>
    <w:multiLevelType w:val="multilevel"/>
    <w:tmpl w:val="D478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0231908"/>
    <w:multiLevelType w:val="multilevel"/>
    <w:tmpl w:val="0CF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5455A2"/>
    <w:multiLevelType w:val="multilevel"/>
    <w:tmpl w:val="047E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21B2255"/>
    <w:multiLevelType w:val="multilevel"/>
    <w:tmpl w:val="A36E5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446879"/>
    <w:multiLevelType w:val="multilevel"/>
    <w:tmpl w:val="94AC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654254"/>
    <w:multiLevelType w:val="multilevel"/>
    <w:tmpl w:val="8926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706D66"/>
    <w:multiLevelType w:val="multilevel"/>
    <w:tmpl w:val="6E84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A23DBF"/>
    <w:multiLevelType w:val="multilevel"/>
    <w:tmpl w:val="35EE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1E54E0"/>
    <w:multiLevelType w:val="multilevel"/>
    <w:tmpl w:val="AA10B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433B34"/>
    <w:multiLevelType w:val="hybridMultilevel"/>
    <w:tmpl w:val="0A8E3520"/>
    <w:lvl w:ilvl="0" w:tplc="927896D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F32B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D631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10FE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6083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7C20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A27C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EE39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7483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C1327D"/>
    <w:multiLevelType w:val="multilevel"/>
    <w:tmpl w:val="3786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C6F3DCF"/>
    <w:multiLevelType w:val="multilevel"/>
    <w:tmpl w:val="E47C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2D11B51"/>
    <w:multiLevelType w:val="multilevel"/>
    <w:tmpl w:val="42D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4510EE0"/>
    <w:multiLevelType w:val="multilevel"/>
    <w:tmpl w:val="9C34EA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4B71CE"/>
    <w:multiLevelType w:val="multilevel"/>
    <w:tmpl w:val="61243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B76DF1"/>
    <w:multiLevelType w:val="multilevel"/>
    <w:tmpl w:val="31CCA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0A3B18"/>
    <w:multiLevelType w:val="multilevel"/>
    <w:tmpl w:val="75C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DDB1BF9"/>
    <w:multiLevelType w:val="multilevel"/>
    <w:tmpl w:val="AC0A93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031990"/>
    <w:multiLevelType w:val="multilevel"/>
    <w:tmpl w:val="C3F8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F5F3175"/>
    <w:multiLevelType w:val="multilevel"/>
    <w:tmpl w:val="41DA93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B47C02"/>
    <w:multiLevelType w:val="multilevel"/>
    <w:tmpl w:val="48EA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33"/>
  </w:num>
  <w:num w:numId="4">
    <w:abstractNumId w:val="26"/>
    <w:lvlOverride w:ilvl="0">
      <w:lvl w:ilvl="0">
        <w:numFmt w:val="upperRoman"/>
        <w:lvlText w:val="%1."/>
        <w:lvlJc w:val="right"/>
      </w:lvl>
    </w:lvlOverride>
  </w:num>
  <w:num w:numId="5">
    <w:abstractNumId w:val="37"/>
  </w:num>
  <w:num w:numId="6">
    <w:abstractNumId w:val="25"/>
  </w:num>
  <w:num w:numId="7">
    <w:abstractNumId w:val="36"/>
    <w:lvlOverride w:ilvl="0">
      <w:lvl w:ilvl="0">
        <w:numFmt w:val="decimal"/>
        <w:lvlText w:val="%1."/>
        <w:lvlJc w:val="left"/>
      </w:lvl>
    </w:lvlOverride>
  </w:num>
  <w:num w:numId="8">
    <w:abstractNumId w:val="24"/>
  </w:num>
  <w:num w:numId="9">
    <w:abstractNumId w:val="34"/>
  </w:num>
  <w:num w:numId="10">
    <w:abstractNumId w:val="2"/>
  </w:num>
  <w:num w:numId="11">
    <w:abstractNumId w:val="32"/>
  </w:num>
  <w:num w:numId="12">
    <w:abstractNumId w:val="0"/>
  </w:num>
  <w:num w:numId="13">
    <w:abstractNumId w:val="30"/>
  </w:num>
  <w:num w:numId="14">
    <w:abstractNumId w:val="40"/>
    <w:lvlOverride w:ilvl="0">
      <w:lvl w:ilvl="0">
        <w:numFmt w:val="decimal"/>
        <w:lvlText w:val="%1."/>
        <w:lvlJc w:val="left"/>
      </w:lvl>
    </w:lvlOverride>
  </w:num>
  <w:num w:numId="15">
    <w:abstractNumId w:val="43"/>
  </w:num>
  <w:num w:numId="16">
    <w:abstractNumId w:val="27"/>
  </w:num>
  <w:num w:numId="17">
    <w:abstractNumId w:val="4"/>
  </w:num>
  <w:num w:numId="18">
    <w:abstractNumId w:val="5"/>
  </w:num>
  <w:num w:numId="19">
    <w:abstractNumId w:val="12"/>
  </w:num>
  <w:num w:numId="20">
    <w:abstractNumId w:val="22"/>
  </w:num>
  <w:num w:numId="21">
    <w:abstractNumId w:val="42"/>
    <w:lvlOverride w:ilvl="0">
      <w:lvl w:ilvl="0">
        <w:numFmt w:val="decimal"/>
        <w:lvlText w:val="%1."/>
        <w:lvlJc w:val="left"/>
      </w:lvl>
    </w:lvlOverride>
  </w:num>
  <w:num w:numId="22">
    <w:abstractNumId w:val="38"/>
  </w:num>
  <w:num w:numId="23">
    <w:abstractNumId w:val="29"/>
  </w:num>
  <w:num w:numId="24">
    <w:abstractNumId w:val="9"/>
  </w:num>
  <w:num w:numId="25">
    <w:abstractNumId w:val="19"/>
  </w:num>
  <w:num w:numId="26">
    <w:abstractNumId w:val="1"/>
  </w:num>
  <w:num w:numId="27">
    <w:abstractNumId w:val="28"/>
  </w:num>
  <w:num w:numId="28">
    <w:abstractNumId w:val="13"/>
    <w:lvlOverride w:ilvl="0">
      <w:lvl w:ilvl="0">
        <w:numFmt w:val="decimal"/>
        <w:lvlText w:val="%1."/>
        <w:lvlJc w:val="left"/>
      </w:lvl>
    </w:lvlOverride>
  </w:num>
  <w:num w:numId="29">
    <w:abstractNumId w:val="10"/>
  </w:num>
  <w:num w:numId="30">
    <w:abstractNumId w:val="23"/>
  </w:num>
  <w:num w:numId="31">
    <w:abstractNumId w:val="17"/>
  </w:num>
  <w:num w:numId="32">
    <w:abstractNumId w:val="7"/>
  </w:num>
  <w:num w:numId="33">
    <w:abstractNumId w:val="6"/>
  </w:num>
  <w:num w:numId="34">
    <w:abstractNumId w:val="14"/>
  </w:num>
  <w:num w:numId="35">
    <w:abstractNumId w:val="35"/>
  </w:num>
  <w:num w:numId="36">
    <w:abstractNumId w:val="16"/>
  </w:num>
  <w:num w:numId="37">
    <w:abstractNumId w:val="31"/>
  </w:num>
  <w:num w:numId="38">
    <w:abstractNumId w:val="41"/>
  </w:num>
  <w:num w:numId="39">
    <w:abstractNumId w:val="15"/>
  </w:num>
  <w:num w:numId="40">
    <w:abstractNumId w:val="21"/>
  </w:num>
  <w:num w:numId="41">
    <w:abstractNumId w:val="20"/>
  </w:num>
  <w:num w:numId="42">
    <w:abstractNumId w:val="3"/>
  </w:num>
  <w:num w:numId="43">
    <w:abstractNumId w:val="39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349"/>
    <w:rsid w:val="000F239F"/>
    <w:rsid w:val="00370349"/>
    <w:rsid w:val="0062408C"/>
    <w:rsid w:val="008E15A5"/>
    <w:rsid w:val="009D0079"/>
    <w:rsid w:val="00F5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B5C1D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3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3703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39F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9F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34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ru-RU"/>
    </w:rPr>
  </w:style>
  <w:style w:type="character" w:styleId="Hyperlink">
    <w:name w:val="Hyperlink"/>
    <w:basedOn w:val="DefaultParagraphFont"/>
    <w:uiPriority w:val="99"/>
    <w:semiHidden/>
    <w:unhideWhenUsed/>
    <w:rsid w:val="003703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39F"/>
    <w:rPr>
      <w:rFonts w:ascii="Lucida Grande CY" w:hAnsi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39F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5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a.raec.ru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xn--80aaokjbmheeb2a2al4l.xn--p1ai/" TargetMode="External"/><Relationship Id="rId11" Type="http://schemas.openxmlformats.org/officeDocument/2006/relationships/hyperlink" Target="http://runet-id.com/337/" TargetMode="External"/><Relationship Id="rId12" Type="http://schemas.openxmlformats.org/officeDocument/2006/relationships/image" Target="media/image1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runet-id.com/39948/" TargetMode="External"/><Relationship Id="rId16" Type="http://schemas.openxmlformats.org/officeDocument/2006/relationships/hyperlink" Target="https://runet-id.com/120777/" TargetMode="External"/><Relationship Id="rId17" Type="http://schemas.openxmlformats.org/officeDocument/2006/relationships/hyperlink" Target="https://raec.ru/activity/analytics/9884/" TargetMode="External"/><Relationship Id="rId18" Type="http://schemas.openxmlformats.org/officeDocument/2006/relationships/hyperlink" Target="https://cloud.mail.ru/public/28s8/3sxyoczt3" TargetMode="External"/><Relationship Id="rId19" Type="http://schemas.openxmlformats.org/officeDocument/2006/relationships/hyperlink" Target="https://cloud.mail.ru/public/56CD/S41XmCHWo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rif.ru" TargetMode="External"/><Relationship Id="rId7" Type="http://schemas.openxmlformats.org/officeDocument/2006/relationships/hyperlink" Target="https://2019.rif.ru/" TargetMode="External"/><Relationship Id="rId8" Type="http://schemas.openxmlformats.org/officeDocument/2006/relationships/hyperlink" Target="https://2020.rif.ru/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4950</Words>
  <Characters>28215</Characters>
  <Application>Microsoft Macintosh Word</Application>
  <DocSecurity>0</DocSecurity>
  <Lines>235</Lines>
  <Paragraphs>66</Paragraphs>
  <ScaleCrop>false</ScaleCrop>
  <Company>d</Company>
  <LinksUpToDate>false</LinksUpToDate>
  <CharactersWithSpaces>33099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Vorobieva</dc:creator>
  <cp:keywords/>
  <dc:description/>
  <cp:lastModifiedBy>Ekaterina Vorobieva</cp:lastModifiedBy>
  <cp:revision>3</cp:revision>
  <dcterms:created xsi:type="dcterms:W3CDTF">2020-04-14T16:12:00Z</dcterms:created>
  <dcterms:modified xsi:type="dcterms:W3CDTF">2020-04-15T14:32:00Z</dcterms:modified>
</cp:coreProperties>
</file>